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FF0C9" w14:textId="77777777" w:rsidR="007F503C" w:rsidRPr="007F503C" w:rsidRDefault="007F503C" w:rsidP="007F503C">
      <w:pPr>
        <w:jc w:val="center"/>
        <w:rPr>
          <w:sz w:val="56"/>
          <w:szCs w:val="56"/>
        </w:rPr>
      </w:pPr>
    </w:p>
    <w:p w14:paraId="038540B1" w14:textId="77777777" w:rsidR="007F503C" w:rsidRPr="007F503C" w:rsidRDefault="007F503C" w:rsidP="007F503C">
      <w:pPr>
        <w:jc w:val="center"/>
        <w:rPr>
          <w:sz w:val="56"/>
          <w:szCs w:val="56"/>
        </w:rPr>
      </w:pPr>
    </w:p>
    <w:p w14:paraId="2A0F6878" w14:textId="77777777" w:rsidR="007F503C" w:rsidRPr="007F503C" w:rsidRDefault="007F503C" w:rsidP="007F503C">
      <w:pPr>
        <w:jc w:val="center"/>
        <w:rPr>
          <w:sz w:val="56"/>
          <w:szCs w:val="56"/>
        </w:rPr>
      </w:pPr>
      <w:r w:rsidRPr="007F503C">
        <w:rPr>
          <w:sz w:val="56"/>
          <w:szCs w:val="56"/>
        </w:rPr>
        <w:t>Kentucky</w:t>
      </w:r>
    </w:p>
    <w:p w14:paraId="2C2796D7" w14:textId="77777777" w:rsidR="007F503C" w:rsidRPr="007F503C" w:rsidRDefault="007F503C" w:rsidP="007F503C">
      <w:pPr>
        <w:jc w:val="center"/>
        <w:rPr>
          <w:sz w:val="52"/>
          <w:szCs w:val="52"/>
        </w:rPr>
      </w:pPr>
      <w:r w:rsidRPr="007F503C">
        <w:rPr>
          <w:sz w:val="52"/>
          <w:szCs w:val="52"/>
        </w:rPr>
        <w:t xml:space="preserve">Department for Community Based Services </w:t>
      </w:r>
    </w:p>
    <w:p w14:paraId="05D28861" w14:textId="77777777" w:rsidR="007F503C" w:rsidRPr="007F503C" w:rsidRDefault="007F503C" w:rsidP="007F503C">
      <w:pPr>
        <w:jc w:val="center"/>
        <w:rPr>
          <w:sz w:val="52"/>
          <w:szCs w:val="52"/>
        </w:rPr>
      </w:pPr>
    </w:p>
    <w:p w14:paraId="78C6B5A5" w14:textId="77777777" w:rsidR="007F503C" w:rsidRPr="007F503C" w:rsidRDefault="007F503C" w:rsidP="007F503C">
      <w:pPr>
        <w:jc w:val="center"/>
      </w:pPr>
      <w:r w:rsidRPr="007F503C">
        <w:rPr>
          <w:noProof/>
        </w:rPr>
        <w:drawing>
          <wp:inline distT="0" distB="0" distL="0" distR="0" wp14:anchorId="78F5BC89" wp14:editId="064EBE2C">
            <wp:extent cx="2269966" cy="2257425"/>
            <wp:effectExtent l="0" t="0" r="0" b="0"/>
            <wp:docPr id="2" name="Picture 2" descr="Image result for kentucky state seal">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kentucky state seal">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1053" cy="2278396"/>
                    </a:xfrm>
                    <a:prstGeom prst="rect">
                      <a:avLst/>
                    </a:prstGeom>
                    <a:noFill/>
                    <a:ln>
                      <a:noFill/>
                    </a:ln>
                  </pic:spPr>
                </pic:pic>
              </a:graphicData>
            </a:graphic>
          </wp:inline>
        </w:drawing>
      </w:r>
    </w:p>
    <w:p w14:paraId="7A3374EC" w14:textId="77777777" w:rsidR="007F503C" w:rsidRPr="007F503C" w:rsidRDefault="007F503C" w:rsidP="007F503C">
      <w:pPr>
        <w:rPr>
          <w:sz w:val="54"/>
          <w:szCs w:val="54"/>
        </w:rPr>
      </w:pPr>
    </w:p>
    <w:p w14:paraId="231976D9" w14:textId="77777777" w:rsidR="007F503C" w:rsidRPr="007F503C" w:rsidRDefault="007F503C" w:rsidP="007F503C">
      <w:pPr>
        <w:jc w:val="center"/>
        <w:rPr>
          <w:sz w:val="54"/>
          <w:szCs w:val="54"/>
        </w:rPr>
      </w:pPr>
      <w:r w:rsidRPr="007F503C">
        <w:rPr>
          <w:sz w:val="54"/>
          <w:szCs w:val="54"/>
        </w:rPr>
        <w:t>System Safety Review Process</w:t>
      </w:r>
    </w:p>
    <w:p w14:paraId="22F13914" w14:textId="77777777" w:rsidR="007F503C" w:rsidRPr="007F503C" w:rsidRDefault="007F503C" w:rsidP="007F503C">
      <w:pPr>
        <w:jc w:val="center"/>
        <w:rPr>
          <w:sz w:val="54"/>
          <w:szCs w:val="54"/>
        </w:rPr>
      </w:pPr>
      <w:r w:rsidRPr="007F503C">
        <w:rPr>
          <w:rFonts w:ascii="Arial" w:hAnsi="Arial" w:cs="Arial"/>
          <w:b/>
          <w:sz w:val="32"/>
          <w:szCs w:val="32"/>
          <w:u w:val="single"/>
        </w:rPr>
        <w:br w:type="page"/>
      </w:r>
    </w:p>
    <w:sdt>
      <w:sdtPr>
        <w:id w:val="1720012597"/>
        <w:docPartObj>
          <w:docPartGallery w:val="Table of Contents"/>
          <w:docPartUnique/>
        </w:docPartObj>
      </w:sdtPr>
      <w:sdtEndPr>
        <w:rPr>
          <w:bCs/>
          <w:noProof/>
        </w:rPr>
      </w:sdtEndPr>
      <w:sdtContent>
        <w:p w14:paraId="1B276A5E" w14:textId="77777777" w:rsidR="007F503C" w:rsidRPr="007F503C" w:rsidRDefault="007F503C" w:rsidP="007F503C">
          <w:pPr>
            <w:spacing w:line="360" w:lineRule="auto"/>
            <w:rPr>
              <w:rFonts w:ascii="Arial" w:hAnsi="Arial" w:cs="Arial"/>
              <w:b/>
              <w:sz w:val="32"/>
              <w:szCs w:val="32"/>
              <w:u w:val="single"/>
            </w:rPr>
          </w:pPr>
          <w:r w:rsidRPr="007F503C">
            <w:rPr>
              <w:rFonts w:ascii="Arial" w:hAnsi="Arial" w:cs="Arial"/>
              <w:b/>
              <w:sz w:val="32"/>
              <w:szCs w:val="32"/>
              <w:u w:val="single"/>
            </w:rPr>
            <w:t>Contents</w:t>
          </w:r>
        </w:p>
        <w:p w14:paraId="5228512B" w14:textId="77777777" w:rsidR="007F503C" w:rsidRPr="007F503C" w:rsidRDefault="007F503C" w:rsidP="007F503C">
          <w:pPr>
            <w:tabs>
              <w:tab w:val="right" w:leader="dot" w:pos="9350"/>
            </w:tabs>
            <w:spacing w:after="100"/>
            <w:rPr>
              <w:rFonts w:eastAsiaTheme="minorEastAsia"/>
              <w:noProof/>
            </w:rPr>
          </w:pPr>
          <w:r w:rsidRPr="007F503C">
            <w:fldChar w:fldCharType="begin"/>
          </w:r>
          <w:r w:rsidRPr="007F503C">
            <w:instrText xml:space="preserve"> TOC \o "1-3" \h \z \u </w:instrText>
          </w:r>
          <w:r w:rsidRPr="007F503C">
            <w:fldChar w:fldCharType="separate"/>
          </w:r>
          <w:hyperlink w:anchor="_Toc20774106" w:history="1">
            <w:r w:rsidRPr="007F503C">
              <w:rPr>
                <w:noProof/>
                <w:color w:val="0563C1" w:themeColor="hyperlink"/>
                <w:u w:val="single"/>
              </w:rPr>
              <w:t>Introduction</w:t>
            </w:r>
            <w:r w:rsidRPr="007F503C">
              <w:rPr>
                <w:noProof/>
                <w:webHidden/>
              </w:rPr>
              <w:tab/>
            </w:r>
            <w:r w:rsidRPr="007F503C">
              <w:rPr>
                <w:noProof/>
                <w:webHidden/>
              </w:rPr>
              <w:fldChar w:fldCharType="begin"/>
            </w:r>
            <w:r w:rsidRPr="007F503C">
              <w:rPr>
                <w:noProof/>
                <w:webHidden/>
              </w:rPr>
              <w:instrText xml:space="preserve"> PAGEREF _Toc20774106 \h </w:instrText>
            </w:r>
            <w:r w:rsidRPr="007F503C">
              <w:rPr>
                <w:noProof/>
                <w:webHidden/>
              </w:rPr>
            </w:r>
            <w:r w:rsidRPr="007F503C">
              <w:rPr>
                <w:noProof/>
                <w:webHidden/>
              </w:rPr>
              <w:fldChar w:fldCharType="separate"/>
            </w:r>
            <w:r w:rsidRPr="007F503C">
              <w:rPr>
                <w:noProof/>
                <w:webHidden/>
              </w:rPr>
              <w:t>2</w:t>
            </w:r>
            <w:r w:rsidRPr="007F503C">
              <w:rPr>
                <w:noProof/>
                <w:webHidden/>
              </w:rPr>
              <w:fldChar w:fldCharType="end"/>
            </w:r>
          </w:hyperlink>
        </w:p>
        <w:p w14:paraId="6FBEC139" w14:textId="77777777" w:rsidR="007F503C" w:rsidRPr="007F503C" w:rsidRDefault="007F503C" w:rsidP="007F503C">
          <w:pPr>
            <w:tabs>
              <w:tab w:val="right" w:leader="dot" w:pos="9350"/>
            </w:tabs>
            <w:spacing w:after="100"/>
            <w:rPr>
              <w:rFonts w:eastAsiaTheme="minorEastAsia"/>
              <w:noProof/>
            </w:rPr>
          </w:pPr>
          <w:hyperlink w:anchor="_Toc20774107" w:history="1">
            <w:r w:rsidRPr="007F503C">
              <w:rPr>
                <w:noProof/>
                <w:color w:val="0563C1" w:themeColor="hyperlink"/>
                <w:u w:val="single"/>
              </w:rPr>
              <w:t>Process Overview</w:t>
            </w:r>
            <w:r w:rsidRPr="007F503C">
              <w:rPr>
                <w:noProof/>
                <w:webHidden/>
              </w:rPr>
              <w:tab/>
            </w:r>
            <w:r w:rsidRPr="007F503C">
              <w:rPr>
                <w:noProof/>
                <w:webHidden/>
              </w:rPr>
              <w:fldChar w:fldCharType="begin"/>
            </w:r>
            <w:r w:rsidRPr="007F503C">
              <w:rPr>
                <w:noProof/>
                <w:webHidden/>
              </w:rPr>
              <w:instrText xml:space="preserve"> PAGEREF _Toc20774107 \h </w:instrText>
            </w:r>
            <w:r w:rsidRPr="007F503C">
              <w:rPr>
                <w:noProof/>
                <w:webHidden/>
              </w:rPr>
            </w:r>
            <w:r w:rsidRPr="007F503C">
              <w:rPr>
                <w:noProof/>
                <w:webHidden/>
              </w:rPr>
              <w:fldChar w:fldCharType="separate"/>
            </w:r>
            <w:r w:rsidRPr="007F503C">
              <w:rPr>
                <w:noProof/>
                <w:webHidden/>
              </w:rPr>
              <w:t>4</w:t>
            </w:r>
            <w:r w:rsidRPr="007F503C">
              <w:rPr>
                <w:noProof/>
                <w:webHidden/>
              </w:rPr>
              <w:fldChar w:fldCharType="end"/>
            </w:r>
          </w:hyperlink>
        </w:p>
        <w:p w14:paraId="0407A969" w14:textId="77777777" w:rsidR="007F503C" w:rsidRPr="007F503C" w:rsidRDefault="007F503C" w:rsidP="007F503C">
          <w:pPr>
            <w:tabs>
              <w:tab w:val="right" w:leader="dot" w:pos="9350"/>
            </w:tabs>
            <w:spacing w:after="100"/>
            <w:rPr>
              <w:rFonts w:eastAsiaTheme="minorEastAsia"/>
              <w:noProof/>
            </w:rPr>
          </w:pPr>
          <w:hyperlink w:anchor="_Toc20774108" w:history="1">
            <w:r w:rsidRPr="007F503C">
              <w:rPr>
                <w:noProof/>
                <w:color w:val="0563C1" w:themeColor="hyperlink"/>
                <w:u w:val="single"/>
              </w:rPr>
              <w:t>PROCEDURE</w:t>
            </w:r>
            <w:r w:rsidRPr="007F503C">
              <w:rPr>
                <w:noProof/>
                <w:webHidden/>
              </w:rPr>
              <w:tab/>
            </w:r>
            <w:r w:rsidRPr="007F503C">
              <w:rPr>
                <w:noProof/>
                <w:webHidden/>
              </w:rPr>
              <w:fldChar w:fldCharType="begin"/>
            </w:r>
            <w:r w:rsidRPr="007F503C">
              <w:rPr>
                <w:noProof/>
                <w:webHidden/>
              </w:rPr>
              <w:instrText xml:space="preserve"> PAGEREF _Toc20774108 \h </w:instrText>
            </w:r>
            <w:r w:rsidRPr="007F503C">
              <w:rPr>
                <w:noProof/>
                <w:webHidden/>
              </w:rPr>
            </w:r>
            <w:r w:rsidRPr="007F503C">
              <w:rPr>
                <w:noProof/>
                <w:webHidden/>
              </w:rPr>
              <w:fldChar w:fldCharType="separate"/>
            </w:r>
            <w:r w:rsidRPr="007F503C">
              <w:rPr>
                <w:noProof/>
                <w:webHidden/>
              </w:rPr>
              <w:t>5</w:t>
            </w:r>
            <w:r w:rsidRPr="007F503C">
              <w:rPr>
                <w:noProof/>
                <w:webHidden/>
              </w:rPr>
              <w:fldChar w:fldCharType="end"/>
            </w:r>
          </w:hyperlink>
        </w:p>
        <w:p w14:paraId="34FAE4CE" w14:textId="77777777" w:rsidR="007F503C" w:rsidRPr="007F503C" w:rsidRDefault="007F503C" w:rsidP="007F503C">
          <w:pPr>
            <w:tabs>
              <w:tab w:val="left" w:pos="660"/>
              <w:tab w:val="right" w:leader="dot" w:pos="9350"/>
            </w:tabs>
            <w:spacing w:after="100"/>
            <w:ind w:left="220"/>
            <w:rPr>
              <w:rFonts w:eastAsiaTheme="minorEastAsia"/>
              <w:noProof/>
            </w:rPr>
          </w:pPr>
          <w:hyperlink w:anchor="_Toc20774109" w:history="1">
            <w:r w:rsidRPr="007F503C">
              <w:rPr>
                <w:noProof/>
                <w:color w:val="0563C1" w:themeColor="hyperlink"/>
                <w:u w:val="single"/>
              </w:rPr>
              <w:t>I.</w:t>
            </w:r>
            <w:r w:rsidRPr="007F503C">
              <w:rPr>
                <w:rFonts w:eastAsiaTheme="minorEastAsia"/>
                <w:noProof/>
              </w:rPr>
              <w:tab/>
            </w:r>
            <w:r w:rsidRPr="007F503C">
              <w:rPr>
                <w:noProof/>
                <w:color w:val="0563C1" w:themeColor="hyperlink"/>
                <w:u w:val="single"/>
              </w:rPr>
              <w:t>Notification</w:t>
            </w:r>
            <w:r w:rsidRPr="007F503C">
              <w:rPr>
                <w:noProof/>
                <w:webHidden/>
              </w:rPr>
              <w:tab/>
            </w:r>
            <w:r w:rsidRPr="007F503C">
              <w:rPr>
                <w:noProof/>
                <w:webHidden/>
              </w:rPr>
              <w:fldChar w:fldCharType="begin"/>
            </w:r>
            <w:r w:rsidRPr="007F503C">
              <w:rPr>
                <w:noProof/>
                <w:webHidden/>
              </w:rPr>
              <w:instrText xml:space="preserve"> PAGEREF _Toc20774109 \h </w:instrText>
            </w:r>
            <w:r w:rsidRPr="007F503C">
              <w:rPr>
                <w:noProof/>
                <w:webHidden/>
              </w:rPr>
            </w:r>
            <w:r w:rsidRPr="007F503C">
              <w:rPr>
                <w:noProof/>
                <w:webHidden/>
              </w:rPr>
              <w:fldChar w:fldCharType="separate"/>
            </w:r>
            <w:r w:rsidRPr="007F503C">
              <w:rPr>
                <w:noProof/>
                <w:webHidden/>
              </w:rPr>
              <w:t>5</w:t>
            </w:r>
            <w:r w:rsidRPr="007F503C">
              <w:rPr>
                <w:noProof/>
                <w:webHidden/>
              </w:rPr>
              <w:fldChar w:fldCharType="end"/>
            </w:r>
          </w:hyperlink>
        </w:p>
        <w:p w14:paraId="18288D80" w14:textId="77777777" w:rsidR="007F503C" w:rsidRPr="007F503C" w:rsidRDefault="007F503C" w:rsidP="007F503C">
          <w:pPr>
            <w:tabs>
              <w:tab w:val="left" w:pos="660"/>
              <w:tab w:val="right" w:leader="dot" w:pos="9350"/>
            </w:tabs>
            <w:spacing w:after="100"/>
            <w:ind w:left="220"/>
            <w:rPr>
              <w:rFonts w:eastAsiaTheme="minorEastAsia"/>
              <w:noProof/>
            </w:rPr>
          </w:pPr>
          <w:hyperlink w:anchor="_Toc20774110" w:history="1">
            <w:r w:rsidRPr="007F503C">
              <w:rPr>
                <w:noProof/>
                <w:color w:val="0563C1" w:themeColor="hyperlink"/>
                <w:u w:val="single"/>
              </w:rPr>
              <w:t>II.</w:t>
            </w:r>
            <w:r w:rsidRPr="007F503C">
              <w:rPr>
                <w:rFonts w:eastAsiaTheme="minorEastAsia"/>
                <w:noProof/>
              </w:rPr>
              <w:tab/>
            </w:r>
            <w:r w:rsidRPr="007F503C">
              <w:rPr>
                <w:noProof/>
                <w:color w:val="0563C1" w:themeColor="hyperlink"/>
                <w:u w:val="single"/>
              </w:rPr>
              <w:t>Initial System Safety Review</w:t>
            </w:r>
            <w:r w:rsidRPr="007F503C">
              <w:rPr>
                <w:noProof/>
                <w:webHidden/>
              </w:rPr>
              <w:tab/>
            </w:r>
            <w:r w:rsidRPr="007F503C">
              <w:rPr>
                <w:noProof/>
                <w:webHidden/>
              </w:rPr>
              <w:fldChar w:fldCharType="begin"/>
            </w:r>
            <w:r w:rsidRPr="007F503C">
              <w:rPr>
                <w:noProof/>
                <w:webHidden/>
              </w:rPr>
              <w:instrText xml:space="preserve"> PAGEREF _Toc20774110 \h </w:instrText>
            </w:r>
            <w:r w:rsidRPr="007F503C">
              <w:rPr>
                <w:noProof/>
                <w:webHidden/>
              </w:rPr>
            </w:r>
            <w:r w:rsidRPr="007F503C">
              <w:rPr>
                <w:noProof/>
                <w:webHidden/>
              </w:rPr>
              <w:fldChar w:fldCharType="separate"/>
            </w:r>
            <w:r w:rsidRPr="007F503C">
              <w:rPr>
                <w:noProof/>
                <w:webHidden/>
              </w:rPr>
              <w:t>6</w:t>
            </w:r>
            <w:r w:rsidRPr="007F503C">
              <w:rPr>
                <w:noProof/>
                <w:webHidden/>
              </w:rPr>
              <w:fldChar w:fldCharType="end"/>
            </w:r>
          </w:hyperlink>
        </w:p>
        <w:p w14:paraId="66C93918" w14:textId="77777777" w:rsidR="007F503C" w:rsidRPr="007F503C" w:rsidRDefault="007F503C" w:rsidP="007F503C">
          <w:pPr>
            <w:tabs>
              <w:tab w:val="left" w:pos="880"/>
              <w:tab w:val="right" w:leader="dot" w:pos="9350"/>
            </w:tabs>
            <w:spacing w:after="100"/>
            <w:ind w:left="220"/>
            <w:rPr>
              <w:rFonts w:eastAsiaTheme="minorEastAsia"/>
              <w:noProof/>
            </w:rPr>
          </w:pPr>
          <w:hyperlink w:anchor="_Toc20774111" w:history="1">
            <w:r w:rsidRPr="007F503C">
              <w:rPr>
                <w:noProof/>
                <w:color w:val="0563C1" w:themeColor="hyperlink"/>
                <w:u w:val="single"/>
              </w:rPr>
              <w:t>III.</w:t>
            </w:r>
            <w:r w:rsidRPr="007F503C">
              <w:rPr>
                <w:rFonts w:eastAsiaTheme="minorEastAsia"/>
                <w:noProof/>
              </w:rPr>
              <w:tab/>
            </w:r>
            <w:r w:rsidRPr="007F503C">
              <w:rPr>
                <w:noProof/>
                <w:color w:val="0563C1" w:themeColor="hyperlink"/>
                <w:u w:val="single"/>
              </w:rPr>
              <w:t>Multi-Disciplinary Team Meeting</w:t>
            </w:r>
            <w:r w:rsidRPr="007F503C">
              <w:rPr>
                <w:noProof/>
                <w:webHidden/>
              </w:rPr>
              <w:tab/>
            </w:r>
            <w:r w:rsidRPr="007F503C">
              <w:rPr>
                <w:noProof/>
                <w:webHidden/>
              </w:rPr>
              <w:fldChar w:fldCharType="begin"/>
            </w:r>
            <w:r w:rsidRPr="007F503C">
              <w:rPr>
                <w:noProof/>
                <w:webHidden/>
              </w:rPr>
              <w:instrText xml:space="preserve"> PAGEREF _Toc20774111 \h </w:instrText>
            </w:r>
            <w:r w:rsidRPr="007F503C">
              <w:rPr>
                <w:noProof/>
                <w:webHidden/>
              </w:rPr>
            </w:r>
            <w:r w:rsidRPr="007F503C">
              <w:rPr>
                <w:noProof/>
                <w:webHidden/>
              </w:rPr>
              <w:fldChar w:fldCharType="separate"/>
            </w:r>
            <w:r w:rsidRPr="007F503C">
              <w:rPr>
                <w:noProof/>
                <w:webHidden/>
              </w:rPr>
              <w:t>6</w:t>
            </w:r>
            <w:r w:rsidRPr="007F503C">
              <w:rPr>
                <w:noProof/>
                <w:webHidden/>
              </w:rPr>
              <w:fldChar w:fldCharType="end"/>
            </w:r>
          </w:hyperlink>
        </w:p>
        <w:p w14:paraId="50A04681" w14:textId="77777777" w:rsidR="007F503C" w:rsidRPr="007F503C" w:rsidRDefault="007F503C" w:rsidP="007F503C">
          <w:pPr>
            <w:tabs>
              <w:tab w:val="left" w:pos="880"/>
              <w:tab w:val="right" w:leader="dot" w:pos="9350"/>
            </w:tabs>
            <w:spacing w:after="100"/>
            <w:ind w:left="220"/>
            <w:rPr>
              <w:rFonts w:eastAsiaTheme="minorEastAsia"/>
              <w:noProof/>
            </w:rPr>
          </w:pPr>
          <w:hyperlink w:anchor="_Toc20774112" w:history="1">
            <w:r w:rsidRPr="007F503C">
              <w:rPr>
                <w:noProof/>
                <w:color w:val="0563C1" w:themeColor="hyperlink"/>
                <w:u w:val="single"/>
              </w:rPr>
              <w:t>IV.</w:t>
            </w:r>
            <w:r w:rsidRPr="007F503C">
              <w:rPr>
                <w:rFonts w:eastAsiaTheme="minorEastAsia"/>
                <w:noProof/>
              </w:rPr>
              <w:tab/>
            </w:r>
            <w:r w:rsidRPr="007F503C">
              <w:rPr>
                <w:noProof/>
                <w:color w:val="0563C1" w:themeColor="hyperlink"/>
                <w:u w:val="single"/>
              </w:rPr>
              <w:t>Human Factors Debriefing</w:t>
            </w:r>
            <w:r w:rsidRPr="007F503C">
              <w:rPr>
                <w:noProof/>
                <w:webHidden/>
              </w:rPr>
              <w:tab/>
            </w:r>
            <w:r w:rsidRPr="007F503C">
              <w:rPr>
                <w:noProof/>
                <w:webHidden/>
              </w:rPr>
              <w:fldChar w:fldCharType="begin"/>
            </w:r>
            <w:r w:rsidRPr="007F503C">
              <w:rPr>
                <w:noProof/>
                <w:webHidden/>
              </w:rPr>
              <w:instrText xml:space="preserve"> PAGEREF _Toc20774112 \h </w:instrText>
            </w:r>
            <w:r w:rsidRPr="007F503C">
              <w:rPr>
                <w:noProof/>
                <w:webHidden/>
              </w:rPr>
            </w:r>
            <w:r w:rsidRPr="007F503C">
              <w:rPr>
                <w:noProof/>
                <w:webHidden/>
              </w:rPr>
              <w:fldChar w:fldCharType="separate"/>
            </w:r>
            <w:r w:rsidRPr="007F503C">
              <w:rPr>
                <w:noProof/>
                <w:webHidden/>
              </w:rPr>
              <w:t>7</w:t>
            </w:r>
            <w:r w:rsidRPr="007F503C">
              <w:rPr>
                <w:noProof/>
                <w:webHidden/>
              </w:rPr>
              <w:fldChar w:fldCharType="end"/>
            </w:r>
          </w:hyperlink>
        </w:p>
        <w:p w14:paraId="2FBD9536" w14:textId="77777777" w:rsidR="007F503C" w:rsidRPr="007F503C" w:rsidRDefault="007F503C" w:rsidP="007F503C">
          <w:pPr>
            <w:tabs>
              <w:tab w:val="left" w:pos="660"/>
              <w:tab w:val="right" w:leader="dot" w:pos="9350"/>
            </w:tabs>
            <w:spacing w:after="100"/>
            <w:ind w:left="220"/>
            <w:rPr>
              <w:rFonts w:eastAsiaTheme="minorEastAsia"/>
              <w:noProof/>
            </w:rPr>
          </w:pPr>
          <w:hyperlink w:anchor="_Toc20774113" w:history="1">
            <w:r w:rsidRPr="007F503C">
              <w:rPr>
                <w:noProof/>
                <w:color w:val="0563C1" w:themeColor="hyperlink"/>
                <w:u w:val="single"/>
              </w:rPr>
              <w:t>V.</w:t>
            </w:r>
            <w:r w:rsidRPr="007F503C">
              <w:rPr>
                <w:rFonts w:eastAsiaTheme="minorEastAsia"/>
                <w:noProof/>
              </w:rPr>
              <w:tab/>
            </w:r>
            <w:r w:rsidRPr="007F503C">
              <w:rPr>
                <w:noProof/>
                <w:color w:val="0563C1" w:themeColor="hyperlink"/>
                <w:u w:val="single"/>
              </w:rPr>
              <w:t>Mapping</w:t>
            </w:r>
            <w:r w:rsidRPr="007F503C">
              <w:rPr>
                <w:noProof/>
                <w:webHidden/>
              </w:rPr>
              <w:tab/>
            </w:r>
            <w:r w:rsidRPr="007F503C">
              <w:rPr>
                <w:noProof/>
                <w:webHidden/>
              </w:rPr>
              <w:fldChar w:fldCharType="begin"/>
            </w:r>
            <w:r w:rsidRPr="007F503C">
              <w:rPr>
                <w:noProof/>
                <w:webHidden/>
              </w:rPr>
              <w:instrText xml:space="preserve"> PAGEREF _Toc20774113 \h </w:instrText>
            </w:r>
            <w:r w:rsidRPr="007F503C">
              <w:rPr>
                <w:noProof/>
                <w:webHidden/>
              </w:rPr>
            </w:r>
            <w:r w:rsidRPr="007F503C">
              <w:rPr>
                <w:noProof/>
                <w:webHidden/>
              </w:rPr>
              <w:fldChar w:fldCharType="separate"/>
            </w:r>
            <w:r w:rsidRPr="007F503C">
              <w:rPr>
                <w:noProof/>
                <w:webHidden/>
              </w:rPr>
              <w:t>9</w:t>
            </w:r>
            <w:r w:rsidRPr="007F503C">
              <w:rPr>
                <w:noProof/>
                <w:webHidden/>
              </w:rPr>
              <w:fldChar w:fldCharType="end"/>
            </w:r>
          </w:hyperlink>
        </w:p>
        <w:p w14:paraId="171203FF" w14:textId="77777777" w:rsidR="007F503C" w:rsidRPr="007F503C" w:rsidRDefault="007F503C" w:rsidP="007F503C">
          <w:pPr>
            <w:tabs>
              <w:tab w:val="left" w:pos="880"/>
              <w:tab w:val="right" w:leader="dot" w:pos="9350"/>
            </w:tabs>
            <w:spacing w:after="100"/>
            <w:ind w:left="220"/>
            <w:rPr>
              <w:rFonts w:eastAsiaTheme="minorEastAsia"/>
              <w:noProof/>
            </w:rPr>
          </w:pPr>
          <w:hyperlink w:anchor="_Toc20774114" w:history="1">
            <w:r w:rsidRPr="007F503C">
              <w:rPr>
                <w:noProof/>
                <w:color w:val="0563C1" w:themeColor="hyperlink"/>
                <w:u w:val="single"/>
              </w:rPr>
              <w:t>VI.</w:t>
            </w:r>
            <w:r w:rsidRPr="007F503C">
              <w:rPr>
                <w:rFonts w:eastAsiaTheme="minorEastAsia"/>
                <w:noProof/>
              </w:rPr>
              <w:tab/>
            </w:r>
            <w:r w:rsidRPr="007F503C">
              <w:rPr>
                <w:noProof/>
                <w:color w:val="0563C1" w:themeColor="hyperlink"/>
                <w:u w:val="single"/>
              </w:rPr>
              <w:t>Scoring</w:t>
            </w:r>
            <w:r w:rsidRPr="007F503C">
              <w:rPr>
                <w:noProof/>
                <w:webHidden/>
              </w:rPr>
              <w:tab/>
            </w:r>
            <w:r w:rsidRPr="007F503C">
              <w:rPr>
                <w:noProof/>
                <w:webHidden/>
              </w:rPr>
              <w:fldChar w:fldCharType="begin"/>
            </w:r>
            <w:r w:rsidRPr="007F503C">
              <w:rPr>
                <w:noProof/>
                <w:webHidden/>
              </w:rPr>
              <w:instrText xml:space="preserve"> PAGEREF _Toc20774114 \h </w:instrText>
            </w:r>
            <w:r w:rsidRPr="007F503C">
              <w:rPr>
                <w:noProof/>
                <w:webHidden/>
              </w:rPr>
            </w:r>
            <w:r w:rsidRPr="007F503C">
              <w:rPr>
                <w:noProof/>
                <w:webHidden/>
              </w:rPr>
              <w:fldChar w:fldCharType="separate"/>
            </w:r>
            <w:r w:rsidRPr="007F503C">
              <w:rPr>
                <w:noProof/>
                <w:webHidden/>
              </w:rPr>
              <w:t>13</w:t>
            </w:r>
            <w:r w:rsidRPr="007F503C">
              <w:rPr>
                <w:noProof/>
                <w:webHidden/>
              </w:rPr>
              <w:fldChar w:fldCharType="end"/>
            </w:r>
          </w:hyperlink>
        </w:p>
        <w:p w14:paraId="29301D23" w14:textId="77777777" w:rsidR="007F503C" w:rsidRPr="007F503C" w:rsidRDefault="007F503C" w:rsidP="007F503C">
          <w:pPr>
            <w:tabs>
              <w:tab w:val="left" w:pos="880"/>
              <w:tab w:val="right" w:leader="dot" w:pos="9350"/>
            </w:tabs>
            <w:spacing w:after="100"/>
            <w:ind w:left="220"/>
            <w:rPr>
              <w:rFonts w:eastAsiaTheme="minorEastAsia"/>
              <w:noProof/>
            </w:rPr>
          </w:pPr>
          <w:hyperlink w:anchor="_Toc20774115" w:history="1">
            <w:r w:rsidRPr="007F503C">
              <w:rPr>
                <w:noProof/>
                <w:color w:val="0563C1" w:themeColor="hyperlink"/>
                <w:u w:val="single"/>
              </w:rPr>
              <w:t>VII.</w:t>
            </w:r>
            <w:r w:rsidRPr="007F503C">
              <w:rPr>
                <w:rFonts w:eastAsiaTheme="minorEastAsia"/>
                <w:noProof/>
              </w:rPr>
              <w:tab/>
            </w:r>
            <w:r w:rsidRPr="007F503C">
              <w:rPr>
                <w:noProof/>
                <w:color w:val="0563C1" w:themeColor="hyperlink"/>
                <w:u w:val="single"/>
              </w:rPr>
              <w:t>Multi-Disciplinary Team – Data Action Review</w:t>
            </w:r>
            <w:r w:rsidRPr="007F503C">
              <w:rPr>
                <w:noProof/>
                <w:webHidden/>
              </w:rPr>
              <w:tab/>
            </w:r>
            <w:r w:rsidRPr="007F503C">
              <w:rPr>
                <w:noProof/>
                <w:webHidden/>
              </w:rPr>
              <w:fldChar w:fldCharType="begin"/>
            </w:r>
            <w:r w:rsidRPr="007F503C">
              <w:rPr>
                <w:noProof/>
                <w:webHidden/>
              </w:rPr>
              <w:instrText xml:space="preserve"> PAGEREF _Toc20774115 \h </w:instrText>
            </w:r>
            <w:r w:rsidRPr="007F503C">
              <w:rPr>
                <w:noProof/>
                <w:webHidden/>
              </w:rPr>
            </w:r>
            <w:r w:rsidRPr="007F503C">
              <w:rPr>
                <w:noProof/>
                <w:webHidden/>
              </w:rPr>
              <w:fldChar w:fldCharType="separate"/>
            </w:r>
            <w:r w:rsidRPr="007F503C">
              <w:rPr>
                <w:noProof/>
                <w:webHidden/>
              </w:rPr>
              <w:t>15</w:t>
            </w:r>
            <w:r w:rsidRPr="007F503C">
              <w:rPr>
                <w:noProof/>
                <w:webHidden/>
              </w:rPr>
              <w:fldChar w:fldCharType="end"/>
            </w:r>
          </w:hyperlink>
        </w:p>
        <w:p w14:paraId="35DA96D7" w14:textId="77777777" w:rsidR="007F503C" w:rsidRPr="007F503C" w:rsidRDefault="007F503C" w:rsidP="007F503C">
          <w:pPr>
            <w:tabs>
              <w:tab w:val="left" w:pos="880"/>
              <w:tab w:val="right" w:leader="dot" w:pos="9350"/>
            </w:tabs>
            <w:spacing w:after="100"/>
            <w:ind w:left="220"/>
            <w:rPr>
              <w:rFonts w:eastAsiaTheme="minorEastAsia"/>
              <w:noProof/>
            </w:rPr>
          </w:pPr>
          <w:hyperlink w:anchor="_Toc20774116" w:history="1">
            <w:r w:rsidRPr="007F503C">
              <w:rPr>
                <w:noProof/>
                <w:color w:val="0563C1" w:themeColor="hyperlink"/>
                <w:u w:val="single"/>
              </w:rPr>
              <w:t>VIII.</w:t>
            </w:r>
            <w:r w:rsidRPr="007F503C">
              <w:rPr>
                <w:rFonts w:eastAsiaTheme="minorEastAsia"/>
                <w:noProof/>
              </w:rPr>
              <w:tab/>
            </w:r>
            <w:r w:rsidRPr="007F503C">
              <w:rPr>
                <w:noProof/>
                <w:color w:val="0563C1" w:themeColor="hyperlink"/>
                <w:u w:val="single"/>
              </w:rPr>
              <w:t>Safety Action Group (SAG)</w:t>
            </w:r>
            <w:r w:rsidRPr="007F503C">
              <w:rPr>
                <w:noProof/>
                <w:webHidden/>
              </w:rPr>
              <w:tab/>
            </w:r>
            <w:r w:rsidRPr="007F503C">
              <w:rPr>
                <w:noProof/>
                <w:webHidden/>
              </w:rPr>
              <w:fldChar w:fldCharType="begin"/>
            </w:r>
            <w:r w:rsidRPr="007F503C">
              <w:rPr>
                <w:noProof/>
                <w:webHidden/>
              </w:rPr>
              <w:instrText xml:space="preserve"> PAGEREF _Toc20774116 \h </w:instrText>
            </w:r>
            <w:r w:rsidRPr="007F503C">
              <w:rPr>
                <w:noProof/>
                <w:webHidden/>
              </w:rPr>
            </w:r>
            <w:r w:rsidRPr="007F503C">
              <w:rPr>
                <w:noProof/>
                <w:webHidden/>
              </w:rPr>
              <w:fldChar w:fldCharType="separate"/>
            </w:r>
            <w:r w:rsidRPr="007F503C">
              <w:rPr>
                <w:noProof/>
                <w:webHidden/>
              </w:rPr>
              <w:t>15</w:t>
            </w:r>
            <w:r w:rsidRPr="007F503C">
              <w:rPr>
                <w:noProof/>
                <w:webHidden/>
              </w:rPr>
              <w:fldChar w:fldCharType="end"/>
            </w:r>
          </w:hyperlink>
        </w:p>
        <w:p w14:paraId="1DD988C1" w14:textId="77777777" w:rsidR="007F503C" w:rsidRPr="007F503C" w:rsidRDefault="007F503C" w:rsidP="007F503C">
          <w:pPr>
            <w:tabs>
              <w:tab w:val="left" w:pos="880"/>
              <w:tab w:val="right" w:leader="dot" w:pos="9350"/>
            </w:tabs>
            <w:spacing w:after="100"/>
            <w:ind w:left="220"/>
            <w:rPr>
              <w:rFonts w:eastAsiaTheme="minorEastAsia"/>
              <w:noProof/>
            </w:rPr>
          </w:pPr>
          <w:hyperlink w:anchor="_Toc20774117" w:history="1">
            <w:r w:rsidRPr="007F503C">
              <w:rPr>
                <w:noProof/>
                <w:color w:val="0563C1" w:themeColor="hyperlink"/>
                <w:u w:val="single"/>
              </w:rPr>
              <w:t>IX.</w:t>
            </w:r>
            <w:r w:rsidRPr="007F503C">
              <w:rPr>
                <w:rFonts w:eastAsiaTheme="minorEastAsia"/>
                <w:noProof/>
              </w:rPr>
              <w:tab/>
            </w:r>
            <w:r w:rsidRPr="007F503C">
              <w:rPr>
                <w:noProof/>
                <w:color w:val="0563C1" w:themeColor="hyperlink"/>
                <w:u w:val="single"/>
              </w:rPr>
              <w:t>Annual Fatality Report</w:t>
            </w:r>
            <w:r w:rsidRPr="007F503C">
              <w:rPr>
                <w:noProof/>
                <w:webHidden/>
              </w:rPr>
              <w:tab/>
            </w:r>
            <w:r w:rsidRPr="007F503C">
              <w:rPr>
                <w:noProof/>
                <w:webHidden/>
              </w:rPr>
              <w:fldChar w:fldCharType="begin"/>
            </w:r>
            <w:r w:rsidRPr="007F503C">
              <w:rPr>
                <w:noProof/>
                <w:webHidden/>
              </w:rPr>
              <w:instrText xml:space="preserve"> PAGEREF _Toc20774117 \h </w:instrText>
            </w:r>
            <w:r w:rsidRPr="007F503C">
              <w:rPr>
                <w:noProof/>
                <w:webHidden/>
              </w:rPr>
            </w:r>
            <w:r w:rsidRPr="007F503C">
              <w:rPr>
                <w:noProof/>
                <w:webHidden/>
              </w:rPr>
              <w:fldChar w:fldCharType="separate"/>
            </w:r>
            <w:r w:rsidRPr="007F503C">
              <w:rPr>
                <w:noProof/>
                <w:webHidden/>
              </w:rPr>
              <w:t>16</w:t>
            </w:r>
            <w:r w:rsidRPr="007F503C">
              <w:rPr>
                <w:noProof/>
                <w:webHidden/>
              </w:rPr>
              <w:fldChar w:fldCharType="end"/>
            </w:r>
          </w:hyperlink>
        </w:p>
        <w:p w14:paraId="3D601500" w14:textId="77777777" w:rsidR="007F503C" w:rsidRPr="007F503C" w:rsidRDefault="007F503C" w:rsidP="007F503C">
          <w:r w:rsidRPr="007F503C">
            <w:rPr>
              <w:b/>
              <w:bCs/>
              <w:noProof/>
            </w:rPr>
            <w:fldChar w:fldCharType="end"/>
          </w:r>
        </w:p>
      </w:sdtContent>
    </w:sdt>
    <w:p w14:paraId="2A128661" w14:textId="77777777" w:rsidR="007F503C" w:rsidRPr="007F503C" w:rsidRDefault="007F503C" w:rsidP="007F503C">
      <w:pPr>
        <w:jc w:val="center"/>
        <w:rPr>
          <w:rFonts w:ascii="Arial" w:hAnsi="Arial" w:cs="Arial"/>
          <w:sz w:val="24"/>
          <w:szCs w:val="24"/>
        </w:rPr>
      </w:pPr>
    </w:p>
    <w:p w14:paraId="23BA07DD" w14:textId="77777777" w:rsidR="007F503C" w:rsidRPr="007F503C" w:rsidRDefault="007F503C" w:rsidP="007F503C">
      <w:pPr>
        <w:spacing w:line="360" w:lineRule="auto"/>
        <w:rPr>
          <w:rFonts w:ascii="Arial" w:hAnsi="Arial" w:cs="Arial"/>
          <w:b/>
          <w:sz w:val="32"/>
          <w:szCs w:val="32"/>
          <w:u w:val="single"/>
        </w:rPr>
      </w:pPr>
    </w:p>
    <w:p w14:paraId="32CC6DD8" w14:textId="77777777" w:rsidR="007F503C" w:rsidRPr="007F503C" w:rsidRDefault="007F503C" w:rsidP="007F503C">
      <w:pPr>
        <w:spacing w:line="360" w:lineRule="auto"/>
        <w:rPr>
          <w:rFonts w:ascii="Arial" w:hAnsi="Arial" w:cs="Arial"/>
          <w:b/>
          <w:sz w:val="32"/>
          <w:szCs w:val="32"/>
          <w:u w:val="single"/>
        </w:rPr>
      </w:pPr>
    </w:p>
    <w:p w14:paraId="679ED906" w14:textId="77777777" w:rsidR="007F503C" w:rsidRPr="007F503C" w:rsidRDefault="007F503C" w:rsidP="007F503C">
      <w:pPr>
        <w:spacing w:line="360" w:lineRule="auto"/>
        <w:rPr>
          <w:rFonts w:ascii="Arial" w:hAnsi="Arial" w:cs="Arial"/>
          <w:b/>
          <w:sz w:val="32"/>
          <w:szCs w:val="32"/>
          <w:u w:val="single"/>
        </w:rPr>
      </w:pPr>
    </w:p>
    <w:p w14:paraId="53F8A80D" w14:textId="77777777" w:rsidR="007F503C" w:rsidRPr="007F503C" w:rsidRDefault="007F503C" w:rsidP="007F503C">
      <w:pPr>
        <w:spacing w:line="360" w:lineRule="auto"/>
        <w:rPr>
          <w:rFonts w:ascii="Arial" w:hAnsi="Arial" w:cs="Arial"/>
          <w:b/>
          <w:sz w:val="32"/>
          <w:szCs w:val="32"/>
          <w:u w:val="single"/>
        </w:rPr>
      </w:pPr>
    </w:p>
    <w:p w14:paraId="0553D1A5" w14:textId="77777777" w:rsidR="007F503C" w:rsidRPr="007F503C" w:rsidRDefault="007F503C" w:rsidP="007F503C">
      <w:pPr>
        <w:spacing w:line="360" w:lineRule="auto"/>
        <w:rPr>
          <w:rFonts w:ascii="Arial" w:hAnsi="Arial" w:cs="Arial"/>
          <w:b/>
          <w:sz w:val="32"/>
          <w:szCs w:val="32"/>
          <w:u w:val="single"/>
        </w:rPr>
      </w:pPr>
    </w:p>
    <w:p w14:paraId="7B9E4F06" w14:textId="77777777" w:rsidR="007F503C" w:rsidRPr="007F503C" w:rsidRDefault="007F503C" w:rsidP="007F503C">
      <w:pPr>
        <w:spacing w:line="360" w:lineRule="auto"/>
        <w:rPr>
          <w:rFonts w:ascii="Arial" w:hAnsi="Arial" w:cs="Arial"/>
          <w:b/>
          <w:sz w:val="32"/>
          <w:szCs w:val="32"/>
          <w:u w:val="single"/>
        </w:rPr>
      </w:pPr>
    </w:p>
    <w:p w14:paraId="034AA034" w14:textId="77777777" w:rsidR="007F503C" w:rsidRPr="007F503C" w:rsidRDefault="007F503C" w:rsidP="007F503C">
      <w:pPr>
        <w:spacing w:line="360" w:lineRule="auto"/>
        <w:rPr>
          <w:rFonts w:ascii="Arial" w:hAnsi="Arial" w:cs="Arial"/>
          <w:b/>
          <w:sz w:val="32"/>
          <w:szCs w:val="32"/>
          <w:u w:val="single"/>
        </w:rPr>
      </w:pPr>
    </w:p>
    <w:p w14:paraId="60F0AAA7" w14:textId="77777777" w:rsidR="007F503C" w:rsidRPr="007F503C" w:rsidRDefault="007F503C" w:rsidP="007F503C">
      <w:pPr>
        <w:spacing w:line="360" w:lineRule="auto"/>
        <w:rPr>
          <w:rFonts w:ascii="Arial" w:hAnsi="Arial" w:cs="Arial"/>
          <w:b/>
          <w:sz w:val="32"/>
          <w:szCs w:val="32"/>
          <w:u w:val="single"/>
        </w:rPr>
      </w:pPr>
    </w:p>
    <w:p w14:paraId="0BCFB89E" w14:textId="77777777" w:rsidR="007F503C" w:rsidRPr="007F503C" w:rsidRDefault="007F503C" w:rsidP="007F503C">
      <w:pPr>
        <w:spacing w:line="360" w:lineRule="auto"/>
        <w:rPr>
          <w:rFonts w:ascii="Arial" w:hAnsi="Arial" w:cs="Arial"/>
          <w:b/>
          <w:sz w:val="32"/>
          <w:szCs w:val="32"/>
          <w:u w:val="single"/>
        </w:rPr>
      </w:pPr>
    </w:p>
    <w:p w14:paraId="3AEA37C0" w14:textId="77777777" w:rsidR="007F503C" w:rsidRPr="007F503C" w:rsidRDefault="007F503C" w:rsidP="007F503C">
      <w:pPr>
        <w:spacing w:line="360" w:lineRule="auto"/>
        <w:outlineLvl w:val="0"/>
        <w:rPr>
          <w:rFonts w:ascii="Arial" w:hAnsi="Arial" w:cs="Arial"/>
          <w:b/>
          <w:sz w:val="32"/>
          <w:szCs w:val="32"/>
          <w:u w:val="single"/>
        </w:rPr>
      </w:pPr>
      <w:bookmarkStart w:id="0" w:name="_Toc20774106"/>
      <w:r w:rsidRPr="007F503C">
        <w:rPr>
          <w:rFonts w:ascii="Arial" w:hAnsi="Arial" w:cs="Arial"/>
          <w:b/>
          <w:sz w:val="32"/>
          <w:szCs w:val="32"/>
          <w:u w:val="single"/>
        </w:rPr>
        <w:t>Introduction</w:t>
      </w:r>
      <w:bookmarkEnd w:id="0"/>
    </w:p>
    <w:p w14:paraId="46699CFD"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KRS 620.050 requires that the Cabinet for Health and Family Services (CHFS/cabinet) conduct an internal review of any case where child abuse and neglect has resulted in a fatality or near fatality and the cabinet had prior involvement with the child or family.  This statute also requires that the cabinet submit an annual report by September 1 to the governor, the General Assembly, and the state child fatality review team; this report is to include a summary of the internal reviews and an analysis of historical trends. </w:t>
      </w:r>
    </w:p>
    <w:p w14:paraId="5CB86063"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In 2019, the Department for Community Based Services (DCBS/department) partnered with Collaborative Safety to develop a new internal review process known as the Culture of Safety, System Safety Review (SSR).  The SSR process uses safety science to guide the analysis of critical incidents and the response to areas identified for improvement.  Industries such as aviation, healthcare, and nuclear power champion this approach and child welfare systems throughout the U.S. have adopted this approach for reviewing their critical incidents.  DCBS has defined critical incidents as any child fatality or near fatality accepted for investigation or a death of a child on an active case.  </w:t>
      </w:r>
    </w:p>
    <w:p w14:paraId="2856A4EF"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process focuses on understanding the complex nature of child welfare work and the factors that influence decision-making and practice in real time.  It moves away from the simplistic approach, which tends to assess blame and results in the application of “quick fixes” that fail to address the underlying issues.  The process recognizes that frontline workers strive to make the best decisions in their cases based on information available to them at that time and that those decisions are affected by the system around them.  This new approach emphasizes shared accountability.  Frontline workers will be engaged through human factors debriefings to provide their insight on how adverse events occur and how they can be avoided.  Staff at various levels of the agency and external stakeholders will be accountable to contribute to the systemic analysis.  Furthermore, agency leadership will be accountable for making improvements to create a more resilient and reliable system which improves its capacity to provide safe outcomes for children, families, and employees. </w:t>
      </w:r>
    </w:p>
    <w:p w14:paraId="1F023F0A"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intended outcome of the SSR is to learn and make meaningful systemic change.  In pursuit of this goal, the process will create a safe environment for staff to communicate the influences in their decision making and other system barriers without fear of punitive actions.  The Culture of Safety environment will lead to staff being able to provide enhanced and more effective services to families. </w:t>
      </w:r>
    </w:p>
    <w:p w14:paraId="343930C9" w14:textId="77777777" w:rsidR="007F503C" w:rsidRPr="007F503C" w:rsidRDefault="007F503C" w:rsidP="007F503C">
      <w:pPr>
        <w:spacing w:line="360" w:lineRule="auto"/>
        <w:outlineLvl w:val="0"/>
        <w:rPr>
          <w:rFonts w:ascii="Arial" w:hAnsi="Arial" w:cs="Arial"/>
          <w:b/>
          <w:sz w:val="32"/>
          <w:szCs w:val="32"/>
          <w:u w:val="single"/>
        </w:rPr>
      </w:pPr>
      <w:bookmarkStart w:id="1" w:name="_Toc20774107"/>
      <w:r w:rsidRPr="007F503C">
        <w:rPr>
          <w:rFonts w:ascii="Arial" w:hAnsi="Arial" w:cs="Arial"/>
          <w:b/>
          <w:sz w:val="32"/>
          <w:szCs w:val="32"/>
          <w:u w:val="single"/>
        </w:rPr>
        <w:t>Process Overview</w:t>
      </w:r>
      <w:bookmarkEnd w:id="1"/>
    </w:p>
    <w:p w14:paraId="111153CF" w14:textId="77777777" w:rsidR="007F503C" w:rsidRPr="007F503C" w:rsidRDefault="007F503C" w:rsidP="007F503C">
      <w:pPr>
        <w:spacing w:line="360" w:lineRule="auto"/>
        <w:rPr>
          <w:rFonts w:ascii="Arial" w:hAnsi="Arial" w:cs="Arial"/>
          <w:strike/>
          <w:sz w:val="28"/>
          <w:szCs w:val="28"/>
        </w:rPr>
      </w:pPr>
      <w:r w:rsidRPr="007F503C">
        <w:rPr>
          <w:rFonts w:ascii="Arial" w:hAnsi="Arial" w:cs="Arial"/>
          <w:sz w:val="28"/>
          <w:szCs w:val="28"/>
        </w:rPr>
        <w:t xml:space="preserve">The Division of Protection and Permanency (DPP) is responsible for completing the SSR.  The process will be conducted by the SSR team made up of system safety analysts, with oversight by an assistant director within DPP. </w:t>
      </w:r>
    </w:p>
    <w:p w14:paraId="60C8D5EF"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Cases requiring review include: </w:t>
      </w:r>
    </w:p>
    <w:p w14:paraId="13C41256" w14:textId="77777777" w:rsidR="007F503C" w:rsidRPr="007F503C" w:rsidRDefault="007F503C" w:rsidP="007F503C">
      <w:pPr>
        <w:numPr>
          <w:ilvl w:val="0"/>
          <w:numId w:val="12"/>
        </w:numPr>
        <w:spacing w:line="360" w:lineRule="auto"/>
        <w:contextualSpacing/>
        <w:rPr>
          <w:rFonts w:ascii="Arial" w:hAnsi="Arial" w:cs="Arial"/>
          <w:sz w:val="28"/>
          <w:szCs w:val="28"/>
        </w:rPr>
      </w:pPr>
      <w:r w:rsidRPr="007F503C">
        <w:rPr>
          <w:rFonts w:ascii="Arial" w:hAnsi="Arial" w:cs="Arial"/>
          <w:sz w:val="28"/>
          <w:szCs w:val="28"/>
        </w:rPr>
        <w:t xml:space="preserve">Any death of a child on an active case. </w:t>
      </w:r>
    </w:p>
    <w:p w14:paraId="64001EEB" w14:textId="77777777" w:rsidR="007F503C" w:rsidRPr="007F503C" w:rsidRDefault="007F503C" w:rsidP="007F503C">
      <w:pPr>
        <w:numPr>
          <w:ilvl w:val="0"/>
          <w:numId w:val="12"/>
        </w:numPr>
        <w:spacing w:line="360" w:lineRule="auto"/>
        <w:contextualSpacing/>
        <w:rPr>
          <w:rFonts w:ascii="Arial" w:hAnsi="Arial" w:cs="Arial"/>
          <w:sz w:val="28"/>
          <w:szCs w:val="28"/>
        </w:rPr>
      </w:pPr>
      <w:r w:rsidRPr="007F503C">
        <w:rPr>
          <w:rFonts w:ascii="Arial" w:hAnsi="Arial" w:cs="Arial"/>
          <w:sz w:val="28"/>
          <w:szCs w:val="28"/>
        </w:rPr>
        <w:t xml:space="preserve">Any child fatality or near fatality with prior DCBS involvement.  </w:t>
      </w:r>
    </w:p>
    <w:p w14:paraId="73AF079E" w14:textId="227A2CB2"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system safety analyst will complete an initial case </w:t>
      </w:r>
      <w:r w:rsidRPr="007F503C">
        <w:rPr>
          <w:rFonts w:ascii="Arial" w:hAnsi="Arial" w:cs="Arial"/>
          <w:sz w:val="28"/>
          <w:szCs w:val="28"/>
        </w:rPr>
        <w:t>review, which</w:t>
      </w:r>
      <w:r w:rsidRPr="007F503C">
        <w:rPr>
          <w:rFonts w:ascii="Arial" w:hAnsi="Arial" w:cs="Arial"/>
          <w:sz w:val="28"/>
          <w:szCs w:val="28"/>
        </w:rPr>
        <w:t xml:space="preserve"> will include a review of the circumstances of the fatal/near fatal incident, allegations and details of prior investigations, and the provision of ongoing services.  The goal of this initial review is to identify features that may be recommended for a more in-depth analysis.  Particular attention will be given to history occurring within the twenty-four (24) months prior to the fatal/near fatal incident.  The system safety analyst will present the cases to the multi-disciplinary team (MDT) to determine if a further analysis is needed to identify systemic themes or trends.  </w:t>
      </w:r>
    </w:p>
    <w:p w14:paraId="1CC427F8" w14:textId="77777777" w:rsidR="007F503C" w:rsidRPr="007F503C" w:rsidRDefault="007F503C" w:rsidP="007F503C">
      <w:pPr>
        <w:spacing w:after="0" w:line="360" w:lineRule="auto"/>
        <w:rPr>
          <w:rFonts w:ascii="Arial" w:hAnsi="Arial" w:cs="Arial"/>
          <w:sz w:val="28"/>
          <w:szCs w:val="28"/>
        </w:rPr>
      </w:pPr>
      <w:r w:rsidRPr="007F503C">
        <w:rPr>
          <w:rFonts w:ascii="Arial" w:hAnsi="Arial" w:cs="Arial"/>
          <w:sz w:val="28"/>
          <w:szCs w:val="28"/>
        </w:rPr>
        <w:t xml:space="preserve">Upon selection for further analysis, the system safety analyst will identify DCBS personnel and others who may have been involved in the decision making of the agency’s previous involvement, to participate in human factors debriefings.  Human factors debriefings provide staff with the opportunity to share their experiences related to the critical incident and/or historical cases.  At this time, the system safety analyst will explore the decisions and interactions with the child and family.  The system safety analyst compiles the information gathered, with the findings from the initial case review, and provides this information to the regional mapping team for analysis of systemic influences that may affect decision making.  The system safety analyst will evaluate the information gathered from the regional mapping team using the System Safety Scoring Tool.  Data from this tool will be collected and used to identify underlying systemic themes.  Aggregate data will be presented during the MDT data review to develop the components that will be presented to the safety action group (SAG). </w:t>
      </w:r>
    </w:p>
    <w:p w14:paraId="2C3E1A67" w14:textId="77777777" w:rsidR="007F503C" w:rsidRPr="007F503C" w:rsidRDefault="007F503C" w:rsidP="007F503C">
      <w:pPr>
        <w:spacing w:line="360" w:lineRule="auto"/>
        <w:jc w:val="both"/>
        <w:rPr>
          <w:rFonts w:ascii="Arial" w:hAnsi="Arial" w:cs="Arial"/>
          <w:sz w:val="28"/>
          <w:szCs w:val="28"/>
        </w:rPr>
      </w:pPr>
    </w:p>
    <w:p w14:paraId="6587BBEE" w14:textId="77777777" w:rsidR="007F503C" w:rsidRPr="007F503C" w:rsidRDefault="007F503C" w:rsidP="007F503C">
      <w:pPr>
        <w:spacing w:line="360" w:lineRule="auto"/>
        <w:jc w:val="both"/>
        <w:rPr>
          <w:rFonts w:ascii="Arial" w:hAnsi="Arial" w:cs="Arial"/>
          <w:sz w:val="28"/>
          <w:szCs w:val="28"/>
        </w:rPr>
      </w:pPr>
    </w:p>
    <w:p w14:paraId="2341837D" w14:textId="77777777" w:rsidR="007F503C" w:rsidRPr="007F503C" w:rsidRDefault="007F503C" w:rsidP="007F503C">
      <w:pPr>
        <w:spacing w:line="360" w:lineRule="auto"/>
        <w:jc w:val="both"/>
        <w:rPr>
          <w:rFonts w:ascii="Arial" w:hAnsi="Arial" w:cs="Arial"/>
          <w:sz w:val="28"/>
          <w:szCs w:val="28"/>
        </w:rPr>
      </w:pPr>
    </w:p>
    <w:p w14:paraId="235E06B6" w14:textId="77777777" w:rsidR="007F503C" w:rsidRPr="007F503C" w:rsidRDefault="007F503C" w:rsidP="007F503C">
      <w:pPr>
        <w:spacing w:line="360" w:lineRule="auto"/>
        <w:outlineLvl w:val="0"/>
        <w:rPr>
          <w:rFonts w:ascii="Arial" w:hAnsi="Arial" w:cs="Arial"/>
          <w:b/>
          <w:sz w:val="32"/>
          <w:szCs w:val="32"/>
          <w:u w:val="single"/>
        </w:rPr>
      </w:pPr>
      <w:bookmarkStart w:id="2" w:name="_Toc20774108"/>
      <w:r w:rsidRPr="007F503C">
        <w:rPr>
          <w:rFonts w:ascii="Arial" w:hAnsi="Arial" w:cs="Arial"/>
          <w:b/>
          <w:sz w:val="32"/>
          <w:szCs w:val="32"/>
          <w:u w:val="single"/>
        </w:rPr>
        <w:t>Procedure</w:t>
      </w:r>
      <w:bookmarkEnd w:id="2"/>
    </w:p>
    <w:p w14:paraId="693445B6"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3" w:name="_Toc20774109"/>
      <w:r w:rsidRPr="007F503C">
        <w:rPr>
          <w:rFonts w:ascii="Arial" w:hAnsi="Arial" w:cs="Arial"/>
          <w:b/>
          <w:sz w:val="32"/>
          <w:szCs w:val="32"/>
          <w:u w:val="single"/>
        </w:rPr>
        <w:t>Notification</w:t>
      </w:r>
      <w:bookmarkEnd w:id="3"/>
      <w:r w:rsidRPr="007F503C">
        <w:rPr>
          <w:rFonts w:ascii="Arial" w:hAnsi="Arial" w:cs="Arial"/>
          <w:b/>
          <w:sz w:val="32"/>
          <w:szCs w:val="32"/>
          <w:u w:val="single"/>
        </w:rPr>
        <w:t xml:space="preserve"> </w:t>
      </w:r>
    </w:p>
    <w:p w14:paraId="15634FE8"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Within forty-eight (48) business hours of the receipt of a report accepted as a fatality or near fatality investigation or any death of a child in an active case, the service region (SRA or designee) notifies the system safety review team by completing sections I and II of the </w:t>
      </w:r>
      <w:hyperlink r:id="rId13" w:history="1">
        <w:r w:rsidRPr="007F503C">
          <w:rPr>
            <w:rFonts w:ascii="Arial" w:hAnsi="Arial" w:cs="Arial"/>
            <w:color w:val="0563C1" w:themeColor="hyperlink"/>
            <w:sz w:val="28"/>
            <w:szCs w:val="28"/>
            <w:u w:val="single"/>
          </w:rPr>
          <w:t>System Analysis Report (SAR)</w:t>
        </w:r>
      </w:hyperlink>
      <w:r w:rsidRPr="007F503C">
        <w:rPr>
          <w:rFonts w:ascii="Arial" w:hAnsi="Arial" w:cs="Arial"/>
          <w:sz w:val="28"/>
          <w:szCs w:val="28"/>
        </w:rPr>
        <w:t xml:space="preserve">.  The case will be assigned to a system safety analyst and entered into a tracking database accordingly.  The system safety analysts’ case assignments will be according to regions, however, they may receive assignments in other regions as needed. </w:t>
      </w:r>
    </w:p>
    <w:p w14:paraId="1DFD2344"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4" w:name="_Toc20774110"/>
      <w:r w:rsidRPr="007F503C">
        <w:rPr>
          <w:rFonts w:ascii="Arial" w:hAnsi="Arial" w:cs="Arial"/>
          <w:b/>
          <w:sz w:val="32"/>
          <w:szCs w:val="32"/>
          <w:u w:val="single"/>
        </w:rPr>
        <w:t>Initial System Safety Review</w:t>
      </w:r>
      <w:bookmarkEnd w:id="4"/>
    </w:p>
    <w:p w14:paraId="133EB316"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system safety analyst assigned will complete an initial case review within thirty (30) days of notification, identifying potential features for further consideration.  The system safety analyst may request relevant medical records, police reports, and hard copy records, as needed.  The analyst will provide a summary report to the MDT one week prior to the meeting. </w:t>
      </w:r>
    </w:p>
    <w:p w14:paraId="6768FC20"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Within thirty (30) days of notification, the region will provide the system safety analyst with a status update for the fatality/near fatality investigation, which may include additional information regarding the cause of death or mechanism of injuries as determined by the autopsy or pediatric forensic medical consult. </w:t>
      </w:r>
    </w:p>
    <w:p w14:paraId="419D4D1D"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5" w:name="_Toc20774111"/>
      <w:r w:rsidRPr="007F503C">
        <w:rPr>
          <w:rFonts w:ascii="Arial" w:hAnsi="Arial" w:cs="Arial"/>
          <w:b/>
          <w:sz w:val="32"/>
          <w:szCs w:val="32"/>
          <w:u w:val="single"/>
        </w:rPr>
        <w:t>Multi-Disciplinary Team Meeting</w:t>
      </w:r>
      <w:bookmarkEnd w:id="5"/>
    </w:p>
    <w:p w14:paraId="4AA4242E" w14:textId="77777777" w:rsidR="007F503C" w:rsidRPr="007F503C" w:rsidRDefault="007F503C" w:rsidP="007F503C">
      <w:pPr>
        <w:spacing w:line="360" w:lineRule="auto"/>
        <w:rPr>
          <w:rFonts w:ascii="Arial" w:hAnsi="Arial" w:cs="Arial"/>
          <w:b/>
          <w:sz w:val="28"/>
          <w:szCs w:val="28"/>
          <w:u w:val="single"/>
        </w:rPr>
      </w:pPr>
      <w:r w:rsidRPr="007F503C">
        <w:rPr>
          <w:rFonts w:ascii="Arial" w:hAnsi="Arial" w:cs="Arial"/>
          <w:sz w:val="28"/>
          <w:szCs w:val="28"/>
        </w:rPr>
        <w:t xml:space="preserve">The MDT is a standing monthly team meeting.  Cases received in the previous forty-five (45) days will be reviewed.  One week prior to the scheduled meeting, the system safety review team will provide an agenda for the meeting and case summaries.  The decisions made by the MDT will be recorded in meeting minutes and distributed back to the team within one (1) week.   </w:t>
      </w:r>
    </w:p>
    <w:p w14:paraId="160CDFF7"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MDT members include, but are not be limited to: </w:t>
      </w:r>
    </w:p>
    <w:p w14:paraId="06F8C5C0"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Central office staff from the SSR team;</w:t>
      </w:r>
    </w:p>
    <w:p w14:paraId="10C70103"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Child Safety Branch manager or designee;</w:t>
      </w:r>
    </w:p>
    <w:p w14:paraId="3D7E94A6"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Division of Service Regions (DSR) staff (director, assistant director, and/or branch managers);</w:t>
      </w:r>
    </w:p>
    <w:p w14:paraId="3C1985DD"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Training Branch staff;</w:t>
      </w:r>
    </w:p>
    <w:p w14:paraId="3A3135CB"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Clinical Services Branch staff (including staff from the Medical Support Section);</w:t>
      </w:r>
    </w:p>
    <w:p w14:paraId="0CE983AB"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Department for Public Health staff;</w:t>
      </w:r>
    </w:p>
    <w:p w14:paraId="756CDF34"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Office of Legal Services staff; and</w:t>
      </w:r>
    </w:p>
    <w:p w14:paraId="6CBBD4E9" w14:textId="77777777" w:rsidR="007F503C" w:rsidRPr="007F503C" w:rsidRDefault="007F503C" w:rsidP="007F503C">
      <w:pPr>
        <w:numPr>
          <w:ilvl w:val="0"/>
          <w:numId w:val="1"/>
        </w:numPr>
        <w:spacing w:line="360" w:lineRule="auto"/>
        <w:contextualSpacing/>
        <w:rPr>
          <w:rFonts w:ascii="Arial" w:hAnsi="Arial" w:cs="Arial"/>
          <w:sz w:val="28"/>
          <w:szCs w:val="28"/>
        </w:rPr>
      </w:pPr>
      <w:r w:rsidRPr="007F503C">
        <w:rPr>
          <w:rFonts w:ascii="Arial" w:hAnsi="Arial" w:cs="Arial"/>
          <w:sz w:val="28"/>
          <w:szCs w:val="28"/>
        </w:rPr>
        <w:t>Other central office staff (invited by the SSR team who may have programmatic knowledge of specific cases scheduled for presentation).</w:t>
      </w:r>
    </w:p>
    <w:p w14:paraId="7CE3D4C5"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All members will be required to sign the SSR Confidentiality and Attendance sheet and will be required to leave any notes written during the meeting at its conclusion. </w:t>
      </w:r>
    </w:p>
    <w:p w14:paraId="4B667995"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Each system safety analyst will present their case review findings to the MDT.  The primary goal of this function of the MDT is to identify cases where further analysis is recommended.  The MDT findings for cases not selected for further analysis will be documented in section IV of the SAR.  The number of cases selected for further analysis will be limited to two (2) cases per system safety analyst, per MDT meeting. </w:t>
      </w:r>
    </w:p>
    <w:p w14:paraId="35533840"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6" w:name="_Toc20774112"/>
      <w:r w:rsidRPr="007F503C">
        <w:rPr>
          <w:rFonts w:ascii="Arial" w:hAnsi="Arial" w:cs="Arial"/>
          <w:b/>
          <w:sz w:val="32"/>
          <w:szCs w:val="32"/>
          <w:u w:val="single"/>
        </w:rPr>
        <w:t>Human Factors Debriefing</w:t>
      </w:r>
      <w:bookmarkEnd w:id="6"/>
    </w:p>
    <w:p w14:paraId="54A1B109"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human factors debriefing process is designed to gather additional information about the case and circumstances under which the decisions were made.  This includes an understanding of the interactions between DCBS and the family.  This approach seeks to learn from this interaction and is not intended to promote punitive actions.  The intention is to develop the “second story”, which is the description of the frontline worker’s and other’s decision making process and of the systemic influences in their decisions.   </w:t>
      </w:r>
    </w:p>
    <w:p w14:paraId="5A11928A" w14:textId="77777777" w:rsidR="007F503C" w:rsidRPr="007F503C" w:rsidRDefault="007F503C" w:rsidP="007F503C">
      <w:pPr>
        <w:numPr>
          <w:ilvl w:val="0"/>
          <w:numId w:val="15"/>
        </w:numPr>
        <w:spacing w:line="360" w:lineRule="auto"/>
        <w:contextualSpacing/>
        <w:rPr>
          <w:rFonts w:ascii="Arial" w:hAnsi="Arial" w:cs="Arial"/>
          <w:sz w:val="28"/>
          <w:szCs w:val="28"/>
        </w:rPr>
      </w:pPr>
      <w:r w:rsidRPr="007F503C">
        <w:rPr>
          <w:rFonts w:ascii="Arial" w:hAnsi="Arial" w:cs="Arial"/>
          <w:sz w:val="28"/>
          <w:szCs w:val="28"/>
        </w:rPr>
        <w:t xml:space="preserve">All debriefings are voluntary.  Staff who are requested to participate may decline the entire debriefing process, or if they agree to debrief, may decline to answer specific questions asked during the process. </w:t>
      </w:r>
    </w:p>
    <w:p w14:paraId="6F2FA407" w14:textId="77777777" w:rsidR="007F503C" w:rsidRPr="007F503C" w:rsidRDefault="007F503C" w:rsidP="007F503C">
      <w:pPr>
        <w:numPr>
          <w:ilvl w:val="0"/>
          <w:numId w:val="15"/>
        </w:numPr>
        <w:spacing w:line="360" w:lineRule="auto"/>
        <w:contextualSpacing/>
        <w:rPr>
          <w:rFonts w:ascii="Arial" w:hAnsi="Arial" w:cs="Arial"/>
          <w:sz w:val="28"/>
          <w:szCs w:val="28"/>
        </w:rPr>
      </w:pPr>
      <w:r w:rsidRPr="007F503C">
        <w:rPr>
          <w:rFonts w:ascii="Arial" w:hAnsi="Arial" w:cs="Arial"/>
          <w:sz w:val="28"/>
          <w:szCs w:val="28"/>
        </w:rPr>
        <w:t xml:space="preserve">Staff will receive an invitation to debrief via email and be provided with specific case identifying information and the </w:t>
      </w:r>
      <w:hyperlink r:id="rId14" w:history="1">
        <w:r w:rsidRPr="007F503C">
          <w:rPr>
            <w:rFonts w:ascii="Arial" w:hAnsi="Arial" w:cs="Arial"/>
            <w:color w:val="0563C1" w:themeColor="hyperlink"/>
            <w:sz w:val="28"/>
            <w:szCs w:val="28"/>
            <w:u w:val="single"/>
          </w:rPr>
          <w:t>Human Factors Debriefing Participant Guide</w:t>
        </w:r>
      </w:hyperlink>
      <w:r w:rsidRPr="007F503C">
        <w:rPr>
          <w:rFonts w:ascii="Arial" w:hAnsi="Arial" w:cs="Arial"/>
          <w:sz w:val="28"/>
          <w:szCs w:val="28"/>
        </w:rPr>
        <w:t xml:space="preserve"> that explains the process prior to accepting or declining participation. </w:t>
      </w:r>
    </w:p>
    <w:p w14:paraId="11B48FF7" w14:textId="77777777" w:rsidR="007F503C" w:rsidRPr="007F503C" w:rsidRDefault="007F503C" w:rsidP="007F503C">
      <w:pPr>
        <w:numPr>
          <w:ilvl w:val="0"/>
          <w:numId w:val="15"/>
        </w:numPr>
        <w:spacing w:line="360" w:lineRule="auto"/>
        <w:contextualSpacing/>
        <w:rPr>
          <w:rFonts w:ascii="Arial" w:hAnsi="Arial" w:cs="Arial"/>
          <w:sz w:val="28"/>
          <w:szCs w:val="28"/>
        </w:rPr>
      </w:pPr>
      <w:r w:rsidRPr="007F503C">
        <w:rPr>
          <w:rFonts w:ascii="Arial" w:hAnsi="Arial" w:cs="Arial"/>
          <w:sz w:val="28"/>
          <w:szCs w:val="28"/>
        </w:rPr>
        <w:t xml:space="preserve">During the debriefing, the system safety analyst will guide the participant through the timeline of the case while seeking to understand the relevant factors and systemic influences that led to the decisions made at the time of involvement. </w:t>
      </w:r>
    </w:p>
    <w:p w14:paraId="5703AE1A" w14:textId="77777777" w:rsidR="007F503C" w:rsidRPr="007F503C" w:rsidRDefault="007F503C" w:rsidP="007F503C">
      <w:pPr>
        <w:numPr>
          <w:ilvl w:val="0"/>
          <w:numId w:val="15"/>
        </w:numPr>
        <w:spacing w:line="360" w:lineRule="auto"/>
        <w:contextualSpacing/>
        <w:rPr>
          <w:rFonts w:ascii="Arial" w:hAnsi="Arial" w:cs="Arial"/>
          <w:sz w:val="28"/>
          <w:szCs w:val="28"/>
        </w:rPr>
      </w:pPr>
      <w:r w:rsidRPr="007F503C">
        <w:rPr>
          <w:rFonts w:ascii="Arial" w:hAnsi="Arial" w:cs="Arial"/>
          <w:sz w:val="28"/>
          <w:szCs w:val="28"/>
        </w:rPr>
        <w:t xml:space="preserve">The system safety analyst will provide information about how to access the Kentucky Employee Assistance Program (KEAP). </w:t>
      </w:r>
    </w:p>
    <w:p w14:paraId="433AFE33" w14:textId="16A5A0BD" w:rsidR="007F503C" w:rsidRPr="007F503C" w:rsidRDefault="007F503C" w:rsidP="007F503C">
      <w:pPr>
        <w:numPr>
          <w:ilvl w:val="0"/>
          <w:numId w:val="15"/>
        </w:numPr>
        <w:spacing w:line="360" w:lineRule="auto"/>
        <w:contextualSpacing/>
        <w:rPr>
          <w:rFonts w:ascii="Arial" w:hAnsi="Arial" w:cs="Arial"/>
          <w:sz w:val="28"/>
          <w:szCs w:val="28"/>
        </w:rPr>
      </w:pPr>
      <w:r w:rsidRPr="007F503C">
        <w:rPr>
          <w:rFonts w:ascii="Arial" w:hAnsi="Arial" w:cs="Arial"/>
          <w:sz w:val="28"/>
          <w:szCs w:val="28"/>
        </w:rPr>
        <w:t>After the debriefing, a System Safety Review Survey will be distributed to all participants to collect feedback and gather data on perceptions of participants’ experiences</w:t>
      </w:r>
      <w:r w:rsidR="00154BA6" w:rsidRPr="007F503C">
        <w:rPr>
          <w:rFonts w:ascii="Arial" w:hAnsi="Arial" w:cs="Arial"/>
          <w:sz w:val="28"/>
          <w:szCs w:val="28"/>
        </w:rPr>
        <w:t xml:space="preserve">.  </w:t>
      </w:r>
      <w:r w:rsidRPr="007F503C">
        <w:rPr>
          <w:rFonts w:ascii="Arial" w:hAnsi="Arial" w:cs="Arial"/>
          <w:sz w:val="28"/>
          <w:szCs w:val="28"/>
        </w:rPr>
        <w:t xml:space="preserve">This is also a voluntary process. </w:t>
      </w:r>
    </w:p>
    <w:p w14:paraId="4936D3CD"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system safety analyst will complete a second, more in-depth review of those cases selected for further analysis to determine individuals who will be invited to participate in the human factors debriefing.  Human factors debriefings will be conducted in private and will occur in a location convenient for the participant (most likely in the local DCBS office). </w:t>
      </w:r>
    </w:p>
    <w:p w14:paraId="5768412E"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Individuals identified for debriefing may include, but are not limited to: </w:t>
      </w:r>
    </w:p>
    <w:p w14:paraId="55995627"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Investigative worker of the fatality/near fatality investigation;</w:t>
      </w:r>
    </w:p>
    <w:p w14:paraId="768B0B34"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Investigative worker for the prior investigations within twenty-four (24) months of the fatality or near fatality;</w:t>
      </w:r>
    </w:p>
    <w:p w14:paraId="4F39BF74"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 xml:space="preserve">Investigative supervisors; </w:t>
      </w:r>
    </w:p>
    <w:p w14:paraId="75729ED4"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 xml:space="preserve">Ongoing workers (if applicable); </w:t>
      </w:r>
    </w:p>
    <w:p w14:paraId="4944151D"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Regional management personnel;</w:t>
      </w:r>
    </w:p>
    <w:p w14:paraId="53EADB2A"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 xml:space="preserve">Law enforcement; </w:t>
      </w:r>
    </w:p>
    <w:p w14:paraId="73E6CE18"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 xml:space="preserve">Health care providers; and  </w:t>
      </w:r>
    </w:p>
    <w:p w14:paraId="787D67E0" w14:textId="77777777" w:rsidR="007F503C" w:rsidRPr="007F503C" w:rsidRDefault="007F503C" w:rsidP="007F503C">
      <w:pPr>
        <w:numPr>
          <w:ilvl w:val="0"/>
          <w:numId w:val="14"/>
        </w:numPr>
        <w:spacing w:line="360" w:lineRule="auto"/>
        <w:contextualSpacing/>
        <w:rPr>
          <w:rFonts w:ascii="Arial" w:hAnsi="Arial" w:cs="Arial"/>
          <w:sz w:val="28"/>
          <w:szCs w:val="28"/>
        </w:rPr>
      </w:pPr>
      <w:r w:rsidRPr="007F503C">
        <w:rPr>
          <w:rFonts w:ascii="Arial" w:hAnsi="Arial" w:cs="Arial"/>
          <w:sz w:val="28"/>
          <w:szCs w:val="28"/>
        </w:rPr>
        <w:t xml:space="preserve">Other community partners involved with the family, when deemed appropriate. </w:t>
      </w:r>
    </w:p>
    <w:p w14:paraId="7E06F1A2"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SRA will receive notification that a case from their region has been selected for further analysis, however, will not receive notification of the individuals invited to participate in the debriefing process. </w:t>
      </w:r>
    </w:p>
    <w:p w14:paraId="6B70DE64"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Upon completion of the debriefing process, the system safety analyst will complete section V of the SAR and forward the case to the regional mapping team.</w:t>
      </w:r>
    </w:p>
    <w:p w14:paraId="64109CFC" w14:textId="77777777" w:rsidR="007F503C" w:rsidRPr="007F503C" w:rsidRDefault="007F503C" w:rsidP="007F503C">
      <w:pPr>
        <w:spacing w:line="360" w:lineRule="auto"/>
        <w:rPr>
          <w:rFonts w:ascii="Arial" w:hAnsi="Arial" w:cs="Arial"/>
          <w:sz w:val="28"/>
          <w:szCs w:val="28"/>
        </w:rPr>
      </w:pPr>
    </w:p>
    <w:p w14:paraId="6C6356B9"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7" w:name="_Toc20774113"/>
      <w:r w:rsidRPr="007F503C">
        <w:rPr>
          <w:rFonts w:ascii="Arial" w:hAnsi="Arial" w:cs="Arial"/>
          <w:b/>
          <w:sz w:val="32"/>
          <w:szCs w:val="32"/>
          <w:u w:val="single"/>
        </w:rPr>
        <w:t>Mapping</w:t>
      </w:r>
      <w:bookmarkEnd w:id="7"/>
    </w:p>
    <w:p w14:paraId="3A02D59E"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system mapping process is intended to analyze the human factors data collected during the debriefing to develop a clear picture of systemic influences.  It uses the System Safety Mapping Tool that encourages analysis across multiple levels rather than traditional horizontal or linear generalizations. </w:t>
      </w:r>
    </w:p>
    <w:p w14:paraId="19C9E325"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team approach is used to assure adequate representation of knowledge and perspectives when defining the influences being studied.  The system safety analyst acts as the facilitator for this process guiding the discussion from identified findings to exploration of relevant influences at each level. </w:t>
      </w:r>
    </w:p>
    <w:p w14:paraId="711BC6A0"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system safety analyst combines the information gathered during the mapping into a written narrative describing the influences affecting each learning point.  </w:t>
      </w:r>
    </w:p>
    <w:p w14:paraId="519FCD34"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Mapping tool levels include: </w:t>
      </w:r>
    </w:p>
    <w:p w14:paraId="7A901F13" w14:textId="77777777" w:rsidR="007F503C" w:rsidRPr="007F503C" w:rsidRDefault="007F503C" w:rsidP="007F503C">
      <w:pPr>
        <w:numPr>
          <w:ilvl w:val="0"/>
          <w:numId w:val="24"/>
        </w:numPr>
        <w:spacing w:line="360" w:lineRule="auto"/>
        <w:contextualSpacing/>
        <w:rPr>
          <w:rFonts w:ascii="Arial" w:hAnsi="Arial" w:cs="Arial"/>
          <w:sz w:val="28"/>
          <w:szCs w:val="28"/>
        </w:rPr>
      </w:pPr>
      <w:r w:rsidRPr="007F503C">
        <w:rPr>
          <w:rFonts w:ascii="Arial" w:hAnsi="Arial" w:cs="Arial"/>
          <w:sz w:val="28"/>
          <w:szCs w:val="28"/>
        </w:rPr>
        <w:t>Level 1: Conditions, process, and actor activities, which can include use of technology, critical decisions, services, and supports.</w:t>
      </w:r>
    </w:p>
    <w:p w14:paraId="06051E48" w14:textId="77777777" w:rsidR="007F503C" w:rsidRPr="007F503C" w:rsidRDefault="007F503C" w:rsidP="007F503C">
      <w:pPr>
        <w:numPr>
          <w:ilvl w:val="0"/>
          <w:numId w:val="24"/>
        </w:numPr>
        <w:spacing w:line="360" w:lineRule="auto"/>
        <w:contextualSpacing/>
        <w:rPr>
          <w:rFonts w:ascii="Arial" w:hAnsi="Arial" w:cs="Arial"/>
          <w:sz w:val="28"/>
          <w:szCs w:val="28"/>
        </w:rPr>
      </w:pPr>
      <w:r w:rsidRPr="007F503C">
        <w:rPr>
          <w:rFonts w:ascii="Arial" w:hAnsi="Arial" w:cs="Arial"/>
          <w:sz w:val="28"/>
          <w:szCs w:val="28"/>
        </w:rPr>
        <w:t>Level 2: DCBS regional operations, which can include regional culture, management expectations, geography, and demographics.</w:t>
      </w:r>
    </w:p>
    <w:p w14:paraId="0D6765BC" w14:textId="77777777" w:rsidR="007F503C" w:rsidRPr="007F503C" w:rsidRDefault="007F503C" w:rsidP="007F503C">
      <w:pPr>
        <w:numPr>
          <w:ilvl w:val="0"/>
          <w:numId w:val="24"/>
        </w:numPr>
        <w:spacing w:line="360" w:lineRule="auto"/>
        <w:contextualSpacing/>
        <w:rPr>
          <w:rFonts w:ascii="Arial" w:hAnsi="Arial" w:cs="Arial"/>
          <w:sz w:val="28"/>
          <w:szCs w:val="28"/>
        </w:rPr>
      </w:pPr>
      <w:r w:rsidRPr="007F503C">
        <w:rPr>
          <w:rFonts w:ascii="Arial" w:hAnsi="Arial" w:cs="Arial"/>
          <w:sz w:val="28"/>
          <w:szCs w:val="28"/>
        </w:rPr>
        <w:t xml:space="preserve">Level 3: DCBS central office operations, which can include executive decision making, policies, and fiscal operations. </w:t>
      </w:r>
    </w:p>
    <w:p w14:paraId="52B68BE7" w14:textId="77777777" w:rsidR="007F503C" w:rsidRPr="007F503C" w:rsidRDefault="007F503C" w:rsidP="007F503C">
      <w:pPr>
        <w:numPr>
          <w:ilvl w:val="0"/>
          <w:numId w:val="24"/>
        </w:numPr>
        <w:spacing w:line="360" w:lineRule="auto"/>
        <w:contextualSpacing/>
        <w:rPr>
          <w:rFonts w:ascii="Arial" w:hAnsi="Arial" w:cs="Arial"/>
          <w:sz w:val="28"/>
          <w:szCs w:val="28"/>
        </w:rPr>
      </w:pPr>
      <w:r w:rsidRPr="007F503C">
        <w:rPr>
          <w:rFonts w:ascii="Arial" w:hAnsi="Arial" w:cs="Arial"/>
          <w:sz w:val="28"/>
          <w:szCs w:val="28"/>
        </w:rPr>
        <w:t>Level 4: Entities external to DCBS, such as law enforcement, healthcare providers, and social service providers.</w:t>
      </w:r>
    </w:p>
    <w:p w14:paraId="4021F602" w14:textId="77777777" w:rsidR="007F503C" w:rsidRPr="007F503C" w:rsidRDefault="007F503C" w:rsidP="007F503C">
      <w:pPr>
        <w:numPr>
          <w:ilvl w:val="0"/>
          <w:numId w:val="24"/>
        </w:numPr>
        <w:spacing w:line="360" w:lineRule="auto"/>
        <w:contextualSpacing/>
        <w:rPr>
          <w:rFonts w:ascii="Arial" w:hAnsi="Arial" w:cs="Arial"/>
          <w:sz w:val="28"/>
          <w:szCs w:val="28"/>
        </w:rPr>
      </w:pPr>
      <w:r w:rsidRPr="007F503C">
        <w:rPr>
          <w:rFonts w:ascii="Arial" w:hAnsi="Arial" w:cs="Arial"/>
          <w:sz w:val="28"/>
          <w:szCs w:val="28"/>
        </w:rPr>
        <w:t>Level 5: Government and regulatory bodies comprised of state and federal legislation, resource allocation, and mandates, or regulatory bodies such as accreditation agencies.</w:t>
      </w:r>
    </w:p>
    <w:p w14:paraId="71E78370"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The mapping teams will be standing teams that meet monthly.  The team will consist of regional staff.</w:t>
      </w:r>
    </w:p>
    <w:p w14:paraId="59AA6249" w14:textId="77777777" w:rsidR="007F503C" w:rsidRPr="007F503C" w:rsidRDefault="007F503C" w:rsidP="007F503C">
      <w:pPr>
        <w:spacing w:line="360" w:lineRule="auto"/>
        <w:jc w:val="both"/>
        <w:rPr>
          <w:rFonts w:ascii="Arial" w:hAnsi="Arial" w:cs="Arial"/>
          <w:sz w:val="28"/>
          <w:szCs w:val="28"/>
        </w:rPr>
      </w:pPr>
      <w:r w:rsidRPr="007F503C">
        <w:rPr>
          <w:rFonts w:ascii="Arial" w:hAnsi="Arial" w:cs="Arial"/>
          <w:sz w:val="28"/>
          <w:szCs w:val="28"/>
        </w:rPr>
        <w:t>Members of the regional mapping team will include, but not be limited to:</w:t>
      </w:r>
    </w:p>
    <w:p w14:paraId="78897B6F"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System safety analyst(s);</w:t>
      </w:r>
    </w:p>
    <w:p w14:paraId="4D514743"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Four (4) rotating staff in a case manager position (social service worker (SSW) or social service clinician (SSC)-two (2) investigative workers/two (2) ongoing workers;</w:t>
      </w:r>
    </w:p>
    <w:p w14:paraId="4227AB95"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Four (4) rotating family services office supervisors (FSOS)-two (2) investigative/two (2) ongoing;</w:t>
      </w:r>
    </w:p>
    <w:p w14:paraId="06EE4F98"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One (1) service region clinical associate (SRCA) or service region administrator associate (SRAA);</w:t>
      </w:r>
    </w:p>
    <w:p w14:paraId="7F70333C"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One (1) SRA;</w:t>
      </w:r>
    </w:p>
    <w:p w14:paraId="0E6A8DC5"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Assistant director or director of DSR;</w:t>
      </w:r>
    </w:p>
    <w:p w14:paraId="28CD738B"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A centralized intake representative from the regional team;</w:t>
      </w:r>
    </w:p>
    <w:p w14:paraId="6CD65F14"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 xml:space="preserve">Regional social service specialist – child fatality liaison; </w:t>
      </w:r>
    </w:p>
    <w:p w14:paraId="770A7C52"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A specialized SSW, SSC, or FSOS (from a recruitment and certification (R&amp;C) team, permanency team, or APS team) (optional/as needed);</w:t>
      </w:r>
    </w:p>
    <w:p w14:paraId="685051F1"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Regional Office of Legal Services attorney;</w:t>
      </w:r>
    </w:p>
    <w:p w14:paraId="6C648A00"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CQI specialist – preferably one from each region;</w:t>
      </w:r>
    </w:p>
    <w:p w14:paraId="680F2114"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Community partner – law enforcement, court personnel, PCC/PCP staff, prevention provider, etc.; and</w:t>
      </w:r>
    </w:p>
    <w:p w14:paraId="2774D881" w14:textId="77777777" w:rsidR="007F503C" w:rsidRPr="007F503C" w:rsidRDefault="007F503C" w:rsidP="007F503C">
      <w:pPr>
        <w:numPr>
          <w:ilvl w:val="0"/>
          <w:numId w:val="16"/>
        </w:numPr>
        <w:spacing w:line="360" w:lineRule="auto"/>
        <w:contextualSpacing/>
        <w:rPr>
          <w:rFonts w:ascii="Arial" w:hAnsi="Arial" w:cs="Arial"/>
          <w:sz w:val="28"/>
          <w:szCs w:val="28"/>
        </w:rPr>
      </w:pPr>
      <w:r w:rsidRPr="007F503C">
        <w:rPr>
          <w:rFonts w:ascii="Arial" w:hAnsi="Arial" w:cs="Arial"/>
          <w:sz w:val="28"/>
          <w:szCs w:val="28"/>
        </w:rPr>
        <w:t xml:space="preserve"> Any member of the SSR team.  </w:t>
      </w:r>
    </w:p>
    <w:p w14:paraId="48A29758"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Members present at the regional mapping review must not have been directly involved in a case scheduled for review. </w:t>
      </w:r>
    </w:p>
    <w:p w14:paraId="2094D394"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Standing regional mapping teams will be established as follows: </w:t>
      </w:r>
    </w:p>
    <w:p w14:paraId="0885889F"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Jefferson Service Region (JSR);</w:t>
      </w:r>
    </w:p>
    <w:p w14:paraId="05D6E38D"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 xml:space="preserve">The Cumberland Service Region (CSR); </w:t>
      </w:r>
    </w:p>
    <w:p w14:paraId="1FE45D02"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Salt River Trail Service Region (SRTSR);</w:t>
      </w:r>
    </w:p>
    <w:p w14:paraId="16D0E5D4"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Eastern Mountain Service Region (CSR);</w:t>
      </w:r>
    </w:p>
    <w:p w14:paraId="670DB028"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Southern Bluegrass Service Region (SBSR);</w:t>
      </w:r>
    </w:p>
    <w:p w14:paraId="132BECF0"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Northern Bluegrass Service Region (NBSR);</w:t>
      </w:r>
    </w:p>
    <w:p w14:paraId="172D7713"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Northeastern Service Region (NESR);</w:t>
      </w:r>
    </w:p>
    <w:p w14:paraId="463DDD1B"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Two Rivers Service Region (TRSR);</w:t>
      </w:r>
    </w:p>
    <w:p w14:paraId="4E584068"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The Lakes Service Region (TLSR); and</w:t>
      </w:r>
    </w:p>
    <w:p w14:paraId="2AABA954" w14:textId="77777777" w:rsidR="007F503C" w:rsidRPr="007F503C" w:rsidRDefault="007F503C" w:rsidP="007F503C">
      <w:pPr>
        <w:numPr>
          <w:ilvl w:val="0"/>
          <w:numId w:val="8"/>
        </w:numPr>
        <w:spacing w:line="360" w:lineRule="auto"/>
        <w:contextualSpacing/>
        <w:rPr>
          <w:rFonts w:ascii="Arial" w:hAnsi="Arial" w:cs="Arial"/>
          <w:sz w:val="28"/>
          <w:szCs w:val="28"/>
        </w:rPr>
      </w:pPr>
      <w:r w:rsidRPr="007F503C">
        <w:rPr>
          <w:rFonts w:ascii="Arial" w:hAnsi="Arial" w:cs="Arial"/>
          <w:sz w:val="28"/>
          <w:szCs w:val="28"/>
        </w:rPr>
        <w:t>Centralized intake (CI).</w:t>
      </w:r>
    </w:p>
    <w:p w14:paraId="6ECA5B23" w14:textId="15A13F76"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At least one SRA and SRCA/SRAA should attend all regional mapping team sessions</w:t>
      </w:r>
      <w:r>
        <w:rPr>
          <w:rFonts w:ascii="Arial" w:hAnsi="Arial" w:cs="Arial"/>
          <w:sz w:val="28"/>
          <w:szCs w:val="28"/>
        </w:rPr>
        <w:t xml:space="preserve">.  </w:t>
      </w:r>
      <w:r w:rsidRPr="007F503C">
        <w:rPr>
          <w:rFonts w:ascii="Arial" w:hAnsi="Arial" w:cs="Arial"/>
          <w:sz w:val="28"/>
          <w:szCs w:val="28"/>
        </w:rPr>
        <w:t xml:space="preserve">The regional CQI specialist and child fatality specialist should always be in attendance. </w:t>
      </w:r>
    </w:p>
    <w:p w14:paraId="641731AB"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In instances where the case history involves multiple regions, the location of the mapping will be determined on a case-by-case basis by the SSR team.  The information derived from the mapping process will be cultivated into a written record or narrative by the system safety analyst and be recorded in section VI of the SAR indicating the conclusions drawn for each level.   </w:t>
      </w:r>
    </w:p>
    <w:p w14:paraId="68D952F2" w14:textId="77777777" w:rsidR="007F503C" w:rsidRPr="007F503C" w:rsidRDefault="007F503C" w:rsidP="007F503C">
      <w:pPr>
        <w:spacing w:line="360" w:lineRule="auto"/>
        <w:jc w:val="center"/>
        <w:rPr>
          <w:rFonts w:ascii="Arial" w:hAnsi="Arial" w:cs="Arial"/>
          <w:b/>
          <w:sz w:val="28"/>
          <w:szCs w:val="28"/>
        </w:rPr>
      </w:pPr>
      <w:r w:rsidRPr="007F503C">
        <w:rPr>
          <w:rFonts w:ascii="Arial" w:hAnsi="Arial" w:cs="Arial"/>
          <w:b/>
          <w:sz w:val="28"/>
          <w:szCs w:val="28"/>
        </w:rPr>
        <w:t>System Safety Mapping Tool</w:t>
      </w:r>
    </w:p>
    <w:tbl>
      <w:tblPr>
        <w:tblStyle w:val="TableGrid1"/>
        <w:tblW w:w="0" w:type="auto"/>
        <w:tblLook w:val="04A0" w:firstRow="1" w:lastRow="0" w:firstColumn="1" w:lastColumn="0" w:noHBand="0" w:noVBand="1"/>
      </w:tblPr>
      <w:tblGrid>
        <w:gridCol w:w="1885"/>
        <w:gridCol w:w="7465"/>
      </w:tblGrid>
      <w:tr w:rsidR="007F503C" w:rsidRPr="007F503C" w14:paraId="3D5D1087" w14:textId="77777777" w:rsidTr="00A16B4F">
        <w:tc>
          <w:tcPr>
            <w:tcW w:w="9350" w:type="dxa"/>
            <w:gridSpan w:val="2"/>
          </w:tcPr>
          <w:p w14:paraId="74500858" w14:textId="77777777" w:rsidR="007F503C" w:rsidRPr="007F503C" w:rsidRDefault="007F503C" w:rsidP="007F503C">
            <w:pPr>
              <w:spacing w:line="360" w:lineRule="auto"/>
              <w:jc w:val="center"/>
              <w:rPr>
                <w:rFonts w:ascii="Arial" w:hAnsi="Arial" w:cs="Arial"/>
              </w:rPr>
            </w:pPr>
            <w:r w:rsidRPr="007F503C">
              <w:rPr>
                <w:rFonts w:ascii="Arial" w:hAnsi="Arial" w:cs="Arial"/>
              </w:rPr>
              <w:t>System Safety Map</w:t>
            </w:r>
          </w:p>
        </w:tc>
      </w:tr>
      <w:tr w:rsidR="007F503C" w:rsidRPr="007F503C" w14:paraId="338DB272" w14:textId="77777777" w:rsidTr="00A16B4F">
        <w:tc>
          <w:tcPr>
            <w:tcW w:w="9350" w:type="dxa"/>
            <w:gridSpan w:val="2"/>
          </w:tcPr>
          <w:p w14:paraId="364FEEEC" w14:textId="77777777" w:rsidR="007F503C" w:rsidRPr="007F503C" w:rsidRDefault="007F503C" w:rsidP="007F503C">
            <w:pPr>
              <w:spacing w:line="360" w:lineRule="auto"/>
              <w:rPr>
                <w:rFonts w:ascii="Arial" w:hAnsi="Arial" w:cs="Arial"/>
              </w:rPr>
            </w:pPr>
            <w:r w:rsidRPr="007F503C">
              <w:rPr>
                <w:rFonts w:ascii="Arial" w:hAnsi="Arial" w:cs="Arial"/>
              </w:rPr>
              <w:t>Case No.</w:t>
            </w:r>
          </w:p>
        </w:tc>
      </w:tr>
      <w:tr w:rsidR="007F503C" w:rsidRPr="007F503C" w14:paraId="51DE9703" w14:textId="77777777" w:rsidTr="00A16B4F">
        <w:tc>
          <w:tcPr>
            <w:tcW w:w="1885" w:type="dxa"/>
          </w:tcPr>
          <w:p w14:paraId="5E0389AB" w14:textId="77777777" w:rsidR="007F503C" w:rsidRPr="007F503C" w:rsidRDefault="007F503C" w:rsidP="007F503C">
            <w:pPr>
              <w:spacing w:line="360" w:lineRule="auto"/>
              <w:rPr>
                <w:rFonts w:ascii="Arial" w:hAnsi="Arial" w:cs="Arial"/>
              </w:rPr>
            </w:pPr>
          </w:p>
          <w:p w14:paraId="48C53F2F" w14:textId="77777777" w:rsidR="007F503C" w:rsidRPr="007F503C" w:rsidRDefault="007F503C" w:rsidP="007F503C">
            <w:pPr>
              <w:spacing w:line="360" w:lineRule="auto"/>
              <w:rPr>
                <w:rFonts w:ascii="Arial" w:hAnsi="Arial" w:cs="Arial"/>
              </w:rPr>
            </w:pPr>
            <w:r w:rsidRPr="007F503C">
              <w:rPr>
                <w:rFonts w:ascii="Arial" w:hAnsi="Arial" w:cs="Arial"/>
              </w:rPr>
              <w:t>Government and regulatory bodies</w:t>
            </w:r>
          </w:p>
          <w:p w14:paraId="5215D4A6" w14:textId="77777777" w:rsidR="007F503C" w:rsidRPr="007F503C" w:rsidRDefault="007F503C" w:rsidP="007F503C">
            <w:pPr>
              <w:spacing w:line="360" w:lineRule="auto"/>
              <w:rPr>
                <w:rFonts w:ascii="Arial" w:hAnsi="Arial" w:cs="Arial"/>
              </w:rPr>
            </w:pPr>
          </w:p>
        </w:tc>
        <w:tc>
          <w:tcPr>
            <w:tcW w:w="7465" w:type="dxa"/>
          </w:tcPr>
          <w:p w14:paraId="2A8BD7B2" w14:textId="77777777" w:rsidR="007F503C" w:rsidRPr="007F503C" w:rsidRDefault="007F503C" w:rsidP="007F503C">
            <w:pPr>
              <w:spacing w:line="360" w:lineRule="auto"/>
              <w:rPr>
                <w:rFonts w:ascii="Arial" w:hAnsi="Arial" w:cs="Arial"/>
              </w:rPr>
            </w:pPr>
          </w:p>
        </w:tc>
      </w:tr>
      <w:tr w:rsidR="007F503C" w:rsidRPr="007F503C" w14:paraId="7275885E" w14:textId="77777777" w:rsidTr="00A16B4F">
        <w:tc>
          <w:tcPr>
            <w:tcW w:w="1885" w:type="dxa"/>
          </w:tcPr>
          <w:p w14:paraId="635435A4" w14:textId="77777777" w:rsidR="007F503C" w:rsidRPr="007F503C" w:rsidRDefault="007F503C" w:rsidP="007F503C">
            <w:pPr>
              <w:spacing w:line="360" w:lineRule="auto"/>
              <w:rPr>
                <w:rFonts w:ascii="Arial" w:hAnsi="Arial" w:cs="Arial"/>
              </w:rPr>
            </w:pPr>
          </w:p>
          <w:p w14:paraId="309AAF78" w14:textId="77777777" w:rsidR="007F503C" w:rsidRPr="007F503C" w:rsidRDefault="007F503C" w:rsidP="007F503C">
            <w:pPr>
              <w:spacing w:line="360" w:lineRule="auto"/>
              <w:jc w:val="center"/>
              <w:rPr>
                <w:rFonts w:ascii="Arial" w:hAnsi="Arial" w:cs="Arial"/>
              </w:rPr>
            </w:pPr>
            <w:r w:rsidRPr="007F503C">
              <w:rPr>
                <w:rFonts w:ascii="Arial" w:hAnsi="Arial" w:cs="Arial"/>
              </w:rPr>
              <w:t>External factors</w:t>
            </w:r>
          </w:p>
          <w:p w14:paraId="394A4EBC" w14:textId="77777777" w:rsidR="007F503C" w:rsidRPr="007F503C" w:rsidRDefault="007F503C" w:rsidP="007F503C">
            <w:pPr>
              <w:spacing w:line="360" w:lineRule="auto"/>
              <w:rPr>
                <w:rFonts w:ascii="Arial" w:hAnsi="Arial" w:cs="Arial"/>
              </w:rPr>
            </w:pPr>
          </w:p>
          <w:p w14:paraId="72BB485A" w14:textId="77777777" w:rsidR="007F503C" w:rsidRPr="007F503C" w:rsidRDefault="007F503C" w:rsidP="007F503C">
            <w:pPr>
              <w:spacing w:line="360" w:lineRule="auto"/>
              <w:rPr>
                <w:rFonts w:ascii="Arial" w:hAnsi="Arial" w:cs="Arial"/>
              </w:rPr>
            </w:pPr>
          </w:p>
        </w:tc>
        <w:tc>
          <w:tcPr>
            <w:tcW w:w="7465" w:type="dxa"/>
          </w:tcPr>
          <w:p w14:paraId="15D39E88" w14:textId="77777777" w:rsidR="007F503C" w:rsidRPr="007F503C" w:rsidRDefault="007F503C" w:rsidP="007F503C">
            <w:pPr>
              <w:spacing w:line="360" w:lineRule="auto"/>
              <w:rPr>
                <w:rFonts w:ascii="Arial" w:hAnsi="Arial" w:cs="Arial"/>
              </w:rPr>
            </w:pPr>
          </w:p>
        </w:tc>
      </w:tr>
      <w:tr w:rsidR="007F503C" w:rsidRPr="007F503C" w14:paraId="5992D168" w14:textId="77777777" w:rsidTr="00A16B4F">
        <w:tc>
          <w:tcPr>
            <w:tcW w:w="1885" w:type="dxa"/>
          </w:tcPr>
          <w:p w14:paraId="21FD6A7F" w14:textId="77777777" w:rsidR="007F503C" w:rsidRPr="007F503C" w:rsidRDefault="007F503C" w:rsidP="007F503C">
            <w:pPr>
              <w:spacing w:line="360" w:lineRule="auto"/>
              <w:rPr>
                <w:rFonts w:ascii="Arial" w:hAnsi="Arial" w:cs="Arial"/>
              </w:rPr>
            </w:pPr>
          </w:p>
          <w:p w14:paraId="11EB56CB" w14:textId="77777777" w:rsidR="007F503C" w:rsidRPr="007F503C" w:rsidRDefault="007F503C" w:rsidP="007F503C">
            <w:pPr>
              <w:spacing w:line="360" w:lineRule="auto"/>
              <w:jc w:val="center"/>
              <w:rPr>
                <w:rFonts w:ascii="Arial" w:hAnsi="Arial" w:cs="Arial"/>
              </w:rPr>
            </w:pPr>
            <w:r w:rsidRPr="007F503C">
              <w:rPr>
                <w:rFonts w:ascii="Arial" w:hAnsi="Arial" w:cs="Arial"/>
              </w:rPr>
              <w:t>Organizational factors (central)</w:t>
            </w:r>
          </w:p>
        </w:tc>
        <w:tc>
          <w:tcPr>
            <w:tcW w:w="7465" w:type="dxa"/>
          </w:tcPr>
          <w:p w14:paraId="0C6D5642" w14:textId="77777777" w:rsidR="007F503C" w:rsidRPr="007F503C" w:rsidRDefault="007F503C" w:rsidP="007F503C">
            <w:pPr>
              <w:spacing w:line="360" w:lineRule="auto"/>
              <w:rPr>
                <w:rFonts w:ascii="Arial" w:hAnsi="Arial" w:cs="Arial"/>
              </w:rPr>
            </w:pPr>
          </w:p>
        </w:tc>
      </w:tr>
      <w:tr w:rsidR="007F503C" w:rsidRPr="007F503C" w14:paraId="50990E7D" w14:textId="77777777" w:rsidTr="00A16B4F">
        <w:tc>
          <w:tcPr>
            <w:tcW w:w="1885" w:type="dxa"/>
          </w:tcPr>
          <w:p w14:paraId="70785BCB" w14:textId="77777777" w:rsidR="007F503C" w:rsidRPr="007F503C" w:rsidRDefault="007F503C" w:rsidP="007F503C">
            <w:pPr>
              <w:spacing w:line="360" w:lineRule="auto"/>
              <w:rPr>
                <w:rFonts w:ascii="Arial" w:hAnsi="Arial" w:cs="Arial"/>
              </w:rPr>
            </w:pPr>
          </w:p>
          <w:p w14:paraId="546672DB" w14:textId="77777777" w:rsidR="007F503C" w:rsidRPr="007F503C" w:rsidRDefault="007F503C" w:rsidP="007F503C">
            <w:pPr>
              <w:spacing w:line="360" w:lineRule="auto"/>
              <w:jc w:val="center"/>
              <w:rPr>
                <w:rFonts w:ascii="Arial" w:hAnsi="Arial" w:cs="Arial"/>
              </w:rPr>
            </w:pPr>
            <w:r w:rsidRPr="007F503C">
              <w:rPr>
                <w:rFonts w:ascii="Arial" w:hAnsi="Arial" w:cs="Arial"/>
              </w:rPr>
              <w:t>Organizational factors (regional)</w:t>
            </w:r>
          </w:p>
          <w:p w14:paraId="79511BFD" w14:textId="77777777" w:rsidR="007F503C" w:rsidRPr="007F503C" w:rsidRDefault="007F503C" w:rsidP="007F503C">
            <w:pPr>
              <w:spacing w:line="360" w:lineRule="auto"/>
              <w:rPr>
                <w:rFonts w:ascii="Arial" w:hAnsi="Arial" w:cs="Arial"/>
              </w:rPr>
            </w:pPr>
          </w:p>
        </w:tc>
        <w:tc>
          <w:tcPr>
            <w:tcW w:w="7465" w:type="dxa"/>
          </w:tcPr>
          <w:p w14:paraId="37ABB059" w14:textId="77777777" w:rsidR="007F503C" w:rsidRPr="007F503C" w:rsidRDefault="007F503C" w:rsidP="007F503C">
            <w:pPr>
              <w:spacing w:line="360" w:lineRule="auto"/>
              <w:rPr>
                <w:rFonts w:ascii="Arial" w:hAnsi="Arial" w:cs="Arial"/>
              </w:rPr>
            </w:pPr>
          </w:p>
        </w:tc>
      </w:tr>
      <w:tr w:rsidR="007F503C" w:rsidRPr="007F503C" w14:paraId="3A615FD2" w14:textId="77777777" w:rsidTr="00A16B4F">
        <w:tc>
          <w:tcPr>
            <w:tcW w:w="1885" w:type="dxa"/>
          </w:tcPr>
          <w:p w14:paraId="1ACDA82E" w14:textId="77777777" w:rsidR="007F503C" w:rsidRPr="007F503C" w:rsidRDefault="007F503C" w:rsidP="007F503C">
            <w:pPr>
              <w:spacing w:line="360" w:lineRule="auto"/>
              <w:rPr>
                <w:rFonts w:ascii="Arial" w:hAnsi="Arial" w:cs="Arial"/>
              </w:rPr>
            </w:pPr>
          </w:p>
          <w:p w14:paraId="5EB9AD39" w14:textId="77777777" w:rsidR="007F503C" w:rsidRPr="007F503C" w:rsidRDefault="007F503C" w:rsidP="007F503C">
            <w:pPr>
              <w:spacing w:line="360" w:lineRule="auto"/>
              <w:jc w:val="center"/>
              <w:rPr>
                <w:rFonts w:ascii="Arial" w:hAnsi="Arial" w:cs="Arial"/>
              </w:rPr>
            </w:pPr>
            <w:r w:rsidRPr="007F503C">
              <w:rPr>
                <w:rFonts w:ascii="Arial" w:hAnsi="Arial" w:cs="Arial"/>
              </w:rPr>
              <w:t>Conditions, processes, and actor activities</w:t>
            </w:r>
          </w:p>
          <w:p w14:paraId="14374C9C" w14:textId="77777777" w:rsidR="007F503C" w:rsidRPr="007F503C" w:rsidRDefault="007F503C" w:rsidP="007F503C">
            <w:pPr>
              <w:spacing w:line="360" w:lineRule="auto"/>
              <w:rPr>
                <w:rFonts w:ascii="Arial" w:hAnsi="Arial" w:cs="Arial"/>
              </w:rPr>
            </w:pPr>
          </w:p>
        </w:tc>
        <w:tc>
          <w:tcPr>
            <w:tcW w:w="7465" w:type="dxa"/>
          </w:tcPr>
          <w:p w14:paraId="2882BB8A" w14:textId="77777777" w:rsidR="007F503C" w:rsidRPr="007F503C" w:rsidRDefault="007F503C" w:rsidP="007F503C">
            <w:pPr>
              <w:spacing w:line="360" w:lineRule="auto"/>
              <w:rPr>
                <w:rFonts w:ascii="Arial" w:hAnsi="Arial" w:cs="Arial"/>
              </w:rPr>
            </w:pPr>
          </w:p>
        </w:tc>
      </w:tr>
      <w:tr w:rsidR="007F503C" w:rsidRPr="007F503C" w14:paraId="3B5306D6" w14:textId="77777777" w:rsidTr="00A16B4F">
        <w:tc>
          <w:tcPr>
            <w:tcW w:w="1885" w:type="dxa"/>
          </w:tcPr>
          <w:p w14:paraId="44A5C817" w14:textId="77777777" w:rsidR="007F503C" w:rsidRPr="007F503C" w:rsidRDefault="007F503C" w:rsidP="007F503C">
            <w:pPr>
              <w:spacing w:line="360" w:lineRule="auto"/>
              <w:jc w:val="center"/>
              <w:rPr>
                <w:rFonts w:ascii="Arial" w:hAnsi="Arial" w:cs="Arial"/>
              </w:rPr>
            </w:pPr>
          </w:p>
          <w:p w14:paraId="26F9FB2A" w14:textId="77777777" w:rsidR="007F503C" w:rsidRPr="007F503C" w:rsidRDefault="007F503C" w:rsidP="007F503C">
            <w:pPr>
              <w:spacing w:line="360" w:lineRule="auto"/>
              <w:jc w:val="center"/>
              <w:rPr>
                <w:rFonts w:ascii="Arial" w:hAnsi="Arial" w:cs="Arial"/>
              </w:rPr>
            </w:pPr>
            <w:r w:rsidRPr="007F503C">
              <w:rPr>
                <w:rFonts w:ascii="Arial" w:hAnsi="Arial" w:cs="Arial"/>
              </w:rPr>
              <w:t>Outcome</w:t>
            </w:r>
          </w:p>
          <w:p w14:paraId="5F2547CF" w14:textId="77777777" w:rsidR="007F503C" w:rsidRPr="007F503C" w:rsidRDefault="007F503C" w:rsidP="007F503C">
            <w:pPr>
              <w:spacing w:line="360" w:lineRule="auto"/>
              <w:jc w:val="center"/>
              <w:rPr>
                <w:rFonts w:ascii="Arial" w:hAnsi="Arial" w:cs="Arial"/>
              </w:rPr>
            </w:pPr>
          </w:p>
          <w:p w14:paraId="3440A9F7" w14:textId="77777777" w:rsidR="007F503C" w:rsidRPr="007F503C" w:rsidRDefault="007F503C" w:rsidP="007F503C">
            <w:pPr>
              <w:spacing w:line="360" w:lineRule="auto"/>
              <w:jc w:val="center"/>
              <w:rPr>
                <w:rFonts w:ascii="Arial" w:hAnsi="Arial" w:cs="Arial"/>
              </w:rPr>
            </w:pPr>
          </w:p>
        </w:tc>
        <w:tc>
          <w:tcPr>
            <w:tcW w:w="7465" w:type="dxa"/>
          </w:tcPr>
          <w:p w14:paraId="2FC5336F" w14:textId="77777777" w:rsidR="007F503C" w:rsidRPr="007F503C" w:rsidRDefault="007F503C" w:rsidP="007F503C">
            <w:pPr>
              <w:spacing w:line="360" w:lineRule="auto"/>
              <w:rPr>
                <w:rFonts w:ascii="Arial" w:hAnsi="Arial" w:cs="Arial"/>
              </w:rPr>
            </w:pPr>
          </w:p>
        </w:tc>
      </w:tr>
    </w:tbl>
    <w:p w14:paraId="7B3A0D97" w14:textId="77777777" w:rsidR="007F503C" w:rsidRPr="007F503C" w:rsidRDefault="007F503C" w:rsidP="007F503C">
      <w:pPr>
        <w:spacing w:line="360" w:lineRule="auto"/>
        <w:rPr>
          <w:rFonts w:ascii="Arial" w:hAnsi="Arial" w:cs="Arial"/>
          <w:sz w:val="28"/>
          <w:szCs w:val="28"/>
        </w:rPr>
      </w:pPr>
    </w:p>
    <w:p w14:paraId="7D284F7D"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8" w:name="_Toc20774114"/>
      <w:r w:rsidRPr="007F503C">
        <w:rPr>
          <w:rFonts w:ascii="Arial" w:hAnsi="Arial" w:cs="Arial"/>
          <w:b/>
          <w:sz w:val="32"/>
          <w:szCs w:val="32"/>
          <w:u w:val="single"/>
        </w:rPr>
        <w:t>Scoring</w:t>
      </w:r>
      <w:bookmarkEnd w:id="8"/>
    </w:p>
    <w:p w14:paraId="0E7E7582"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Influences revealed through the mapping process and narrative creation will be scored using the System Safety Scoring Tool.  The tool is designed to explain the inherently complex nature of the work and the many factors influencing practice.  First, systemic themes are identified and then the level of influence that the theme had on the caseworker’s ability to perform their duties, relative to the study case, are captured.  The scoring process assists in the identification and aggregation of systemic influences and allow for guidance on developing recommendations for systemic change and trending of intervention progress and success.</w:t>
      </w:r>
    </w:p>
    <w:p w14:paraId="246EC2E3"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Every case that is tracked by the SRR team (all investigations accepted with a fatality/near fatality designation and cases where a child fatality occurs in an active case) will be scored using section VII of the SAR.  </w:t>
      </w:r>
    </w:p>
    <w:p w14:paraId="48373CF4"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Section VII of the SAR is completed by the system safety analyst: </w:t>
      </w:r>
    </w:p>
    <w:p w14:paraId="0A2A4937" w14:textId="77777777" w:rsidR="007F503C" w:rsidRPr="007F503C" w:rsidRDefault="007F503C" w:rsidP="007F503C">
      <w:pPr>
        <w:numPr>
          <w:ilvl w:val="0"/>
          <w:numId w:val="22"/>
        </w:numPr>
        <w:spacing w:line="360" w:lineRule="auto"/>
        <w:contextualSpacing/>
        <w:rPr>
          <w:rFonts w:ascii="Arial" w:hAnsi="Arial" w:cs="Arial"/>
          <w:sz w:val="28"/>
          <w:szCs w:val="28"/>
        </w:rPr>
      </w:pPr>
      <w:r w:rsidRPr="007F503C">
        <w:rPr>
          <w:rFonts w:ascii="Arial" w:hAnsi="Arial" w:cs="Arial"/>
          <w:sz w:val="28"/>
          <w:szCs w:val="28"/>
        </w:rPr>
        <w:t>When the system safety analyst receives a finalized update on an investigation with a fatality/near fatality designation (this will be for cases that are not selected by the MDT for the further analysis AND are not referred to the regional mapping team).</w:t>
      </w:r>
    </w:p>
    <w:p w14:paraId="13477E07" w14:textId="53823AAE" w:rsidR="007F503C" w:rsidRPr="007F503C" w:rsidRDefault="007F503C" w:rsidP="007F503C">
      <w:pPr>
        <w:numPr>
          <w:ilvl w:val="0"/>
          <w:numId w:val="22"/>
        </w:numPr>
        <w:spacing w:line="360" w:lineRule="auto"/>
        <w:contextualSpacing/>
        <w:rPr>
          <w:rFonts w:ascii="Arial" w:hAnsi="Arial" w:cs="Arial"/>
          <w:sz w:val="28"/>
          <w:szCs w:val="28"/>
        </w:rPr>
      </w:pPr>
      <w:r w:rsidRPr="007F503C">
        <w:rPr>
          <w:rFonts w:ascii="Arial" w:hAnsi="Arial" w:cs="Arial"/>
          <w:sz w:val="28"/>
          <w:szCs w:val="28"/>
        </w:rPr>
        <w:t xml:space="preserve">At the conclusion of the MDT </w:t>
      </w:r>
      <w:r w:rsidRPr="007F503C">
        <w:rPr>
          <w:rFonts w:ascii="Arial" w:hAnsi="Arial" w:cs="Arial"/>
          <w:sz w:val="28"/>
          <w:szCs w:val="28"/>
        </w:rPr>
        <w:t>meeting,</w:t>
      </w:r>
      <w:r w:rsidRPr="007F503C">
        <w:rPr>
          <w:rFonts w:ascii="Arial" w:hAnsi="Arial" w:cs="Arial"/>
          <w:sz w:val="28"/>
          <w:szCs w:val="28"/>
        </w:rPr>
        <w:t xml:space="preserve"> (this will include cases that are NOT selected for the further analysis).</w:t>
      </w:r>
    </w:p>
    <w:p w14:paraId="38BA8B1D" w14:textId="77777777" w:rsidR="007F503C" w:rsidRPr="007F503C" w:rsidRDefault="007F503C" w:rsidP="007F503C">
      <w:pPr>
        <w:numPr>
          <w:ilvl w:val="0"/>
          <w:numId w:val="22"/>
        </w:numPr>
        <w:spacing w:line="360" w:lineRule="auto"/>
        <w:contextualSpacing/>
        <w:rPr>
          <w:rFonts w:ascii="Arial" w:hAnsi="Arial" w:cs="Arial"/>
          <w:sz w:val="28"/>
          <w:szCs w:val="28"/>
        </w:rPr>
      </w:pPr>
      <w:r w:rsidRPr="007F503C">
        <w:rPr>
          <w:rFonts w:ascii="Arial" w:hAnsi="Arial" w:cs="Arial"/>
          <w:sz w:val="28"/>
          <w:szCs w:val="28"/>
        </w:rPr>
        <w:t>At the conclusion of the of the comprehensive analysis process (this includes cases where the debriefings and/or mapping process is conducted and after the narrative is developed).</w:t>
      </w:r>
    </w:p>
    <w:p w14:paraId="6777B6B1" w14:textId="77777777" w:rsidR="007F503C" w:rsidRPr="007F503C" w:rsidRDefault="007F503C" w:rsidP="007F503C">
      <w:pPr>
        <w:spacing w:line="360" w:lineRule="auto"/>
        <w:jc w:val="center"/>
        <w:rPr>
          <w:rFonts w:ascii="Arial" w:hAnsi="Arial" w:cs="Arial"/>
          <w:sz w:val="28"/>
          <w:szCs w:val="28"/>
        </w:rPr>
      </w:pPr>
      <w:r w:rsidRPr="007F503C">
        <w:rPr>
          <w:rFonts w:ascii="Arial" w:hAnsi="Arial" w:cs="Arial"/>
          <w:b/>
          <w:sz w:val="28"/>
          <w:szCs w:val="28"/>
        </w:rPr>
        <w:t>Systems Analysis Scoring Tool</w:t>
      </w:r>
    </w:p>
    <w:tbl>
      <w:tblPr>
        <w:tblStyle w:val="TableGrid1"/>
        <w:tblW w:w="0" w:type="auto"/>
        <w:tblLook w:val="04A0" w:firstRow="1" w:lastRow="0" w:firstColumn="1" w:lastColumn="0" w:noHBand="0" w:noVBand="1"/>
      </w:tblPr>
      <w:tblGrid>
        <w:gridCol w:w="3123"/>
        <w:gridCol w:w="652"/>
        <w:gridCol w:w="630"/>
        <w:gridCol w:w="720"/>
        <w:gridCol w:w="757"/>
        <w:gridCol w:w="3468"/>
      </w:tblGrid>
      <w:tr w:rsidR="007F503C" w:rsidRPr="007F503C" w14:paraId="3CEA0F7D" w14:textId="77777777" w:rsidTr="00A16B4F">
        <w:tc>
          <w:tcPr>
            <w:tcW w:w="9350" w:type="dxa"/>
            <w:gridSpan w:val="6"/>
          </w:tcPr>
          <w:p w14:paraId="76A8985D" w14:textId="77777777" w:rsidR="007F503C" w:rsidRPr="007F503C" w:rsidRDefault="007F503C" w:rsidP="007F503C">
            <w:pPr>
              <w:spacing w:line="360" w:lineRule="auto"/>
              <w:rPr>
                <w:rFonts w:ascii="Arial" w:hAnsi="Arial" w:cs="Arial"/>
              </w:rPr>
            </w:pPr>
            <w:r w:rsidRPr="007F503C">
              <w:rPr>
                <w:rFonts w:ascii="Arial" w:hAnsi="Arial" w:cs="Arial"/>
              </w:rPr>
              <w:t>Case No.</w:t>
            </w:r>
          </w:p>
        </w:tc>
      </w:tr>
      <w:tr w:rsidR="007F503C" w:rsidRPr="007F503C" w14:paraId="50486567" w14:textId="77777777" w:rsidTr="00A16B4F">
        <w:tc>
          <w:tcPr>
            <w:tcW w:w="9350" w:type="dxa"/>
            <w:gridSpan w:val="6"/>
          </w:tcPr>
          <w:p w14:paraId="7A60F0DE" w14:textId="77777777" w:rsidR="007F503C" w:rsidRPr="007F503C" w:rsidRDefault="007F503C" w:rsidP="007F503C">
            <w:pPr>
              <w:spacing w:line="360" w:lineRule="auto"/>
              <w:jc w:val="center"/>
              <w:rPr>
                <w:rFonts w:ascii="Arial" w:hAnsi="Arial" w:cs="Arial"/>
              </w:rPr>
            </w:pPr>
            <w:r w:rsidRPr="007F503C">
              <w:rPr>
                <w:rFonts w:ascii="Arial" w:hAnsi="Arial" w:cs="Arial"/>
              </w:rPr>
              <w:t>INFLUENCE</w:t>
            </w:r>
          </w:p>
          <w:p w14:paraId="74057945" w14:textId="77777777" w:rsidR="007F503C" w:rsidRPr="007F503C" w:rsidRDefault="007F503C" w:rsidP="007F503C">
            <w:pPr>
              <w:spacing w:line="360" w:lineRule="auto"/>
              <w:jc w:val="center"/>
              <w:rPr>
                <w:rFonts w:ascii="Arial" w:hAnsi="Arial" w:cs="Arial"/>
              </w:rPr>
            </w:pPr>
          </w:p>
          <w:p w14:paraId="110A3964" w14:textId="77777777" w:rsidR="007F503C" w:rsidRPr="007F503C" w:rsidRDefault="007F503C" w:rsidP="007F503C">
            <w:pPr>
              <w:spacing w:line="360" w:lineRule="auto"/>
              <w:jc w:val="center"/>
              <w:rPr>
                <w:rFonts w:ascii="Arial" w:hAnsi="Arial" w:cs="Arial"/>
              </w:rPr>
            </w:pPr>
            <w:r w:rsidRPr="007F503C">
              <w:rPr>
                <w:rFonts w:ascii="Arial" w:hAnsi="Arial" w:cs="Arial"/>
              </w:rPr>
              <w:t>0-No Evidence     1-Minimal Evidence     2-Evidence     3-Substantial</w:t>
            </w:r>
          </w:p>
        </w:tc>
      </w:tr>
      <w:tr w:rsidR="007F503C" w:rsidRPr="007F503C" w14:paraId="51C437D4" w14:textId="77777777" w:rsidTr="00A16B4F">
        <w:tc>
          <w:tcPr>
            <w:tcW w:w="3123" w:type="dxa"/>
          </w:tcPr>
          <w:p w14:paraId="0467037A" w14:textId="77777777" w:rsidR="007F503C" w:rsidRPr="007F503C" w:rsidRDefault="007F503C" w:rsidP="007F503C">
            <w:pPr>
              <w:spacing w:line="360" w:lineRule="auto"/>
              <w:jc w:val="center"/>
              <w:rPr>
                <w:rFonts w:ascii="Arial" w:hAnsi="Arial" w:cs="Arial"/>
              </w:rPr>
            </w:pPr>
            <w:r w:rsidRPr="007F503C">
              <w:rPr>
                <w:rFonts w:ascii="Arial" w:hAnsi="Arial" w:cs="Arial"/>
              </w:rPr>
              <w:t>Themes</w:t>
            </w:r>
          </w:p>
        </w:tc>
        <w:tc>
          <w:tcPr>
            <w:tcW w:w="2759" w:type="dxa"/>
            <w:gridSpan w:val="4"/>
          </w:tcPr>
          <w:p w14:paraId="7EFD17BD" w14:textId="77777777" w:rsidR="007F503C" w:rsidRPr="007F503C" w:rsidRDefault="007F503C" w:rsidP="007F503C">
            <w:pPr>
              <w:spacing w:line="360" w:lineRule="auto"/>
              <w:jc w:val="center"/>
              <w:rPr>
                <w:rFonts w:ascii="Arial" w:hAnsi="Arial" w:cs="Arial"/>
              </w:rPr>
            </w:pPr>
            <w:r w:rsidRPr="007F503C">
              <w:rPr>
                <w:rFonts w:ascii="Arial" w:hAnsi="Arial" w:cs="Arial"/>
              </w:rPr>
              <w:t>Influence</w:t>
            </w:r>
          </w:p>
        </w:tc>
        <w:tc>
          <w:tcPr>
            <w:tcW w:w="3468" w:type="dxa"/>
          </w:tcPr>
          <w:p w14:paraId="4E84A53F" w14:textId="77777777" w:rsidR="007F503C" w:rsidRPr="007F503C" w:rsidRDefault="007F503C" w:rsidP="007F503C">
            <w:pPr>
              <w:spacing w:line="360" w:lineRule="auto"/>
              <w:jc w:val="center"/>
              <w:rPr>
                <w:rFonts w:ascii="Arial" w:hAnsi="Arial" w:cs="Arial"/>
              </w:rPr>
            </w:pPr>
            <w:r w:rsidRPr="007F503C">
              <w:rPr>
                <w:rFonts w:ascii="Arial" w:hAnsi="Arial" w:cs="Arial"/>
              </w:rPr>
              <w:t>Narrative (required if rating 2 or 3)</w:t>
            </w:r>
          </w:p>
        </w:tc>
      </w:tr>
      <w:tr w:rsidR="007F503C" w:rsidRPr="007F503C" w14:paraId="0BE93109" w14:textId="77777777" w:rsidTr="00A16B4F">
        <w:tc>
          <w:tcPr>
            <w:tcW w:w="3123" w:type="dxa"/>
          </w:tcPr>
          <w:p w14:paraId="6F9EA6F7" w14:textId="77777777" w:rsidR="007F503C" w:rsidRPr="007F503C" w:rsidRDefault="007F503C" w:rsidP="007F503C">
            <w:pPr>
              <w:spacing w:line="360" w:lineRule="auto"/>
              <w:rPr>
                <w:rFonts w:ascii="Arial" w:hAnsi="Arial" w:cs="Arial"/>
              </w:rPr>
            </w:pPr>
            <w:r w:rsidRPr="007F503C">
              <w:rPr>
                <w:rFonts w:ascii="Arial" w:hAnsi="Arial" w:cs="Arial"/>
              </w:rPr>
              <w:t>Cognition</w:t>
            </w:r>
          </w:p>
        </w:tc>
        <w:tc>
          <w:tcPr>
            <w:tcW w:w="652" w:type="dxa"/>
          </w:tcPr>
          <w:p w14:paraId="34784199"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04796BC5"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4128083C"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37D0AAF5"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5B3B4594" w14:textId="77777777" w:rsidR="007F503C" w:rsidRPr="007F503C" w:rsidRDefault="007F503C" w:rsidP="007F503C">
            <w:pPr>
              <w:spacing w:line="360" w:lineRule="auto"/>
              <w:rPr>
                <w:rFonts w:ascii="Arial" w:hAnsi="Arial" w:cs="Arial"/>
              </w:rPr>
            </w:pPr>
          </w:p>
        </w:tc>
      </w:tr>
      <w:tr w:rsidR="007F503C" w:rsidRPr="007F503C" w14:paraId="676685D0" w14:textId="77777777" w:rsidTr="00A16B4F">
        <w:tc>
          <w:tcPr>
            <w:tcW w:w="3123" w:type="dxa"/>
          </w:tcPr>
          <w:p w14:paraId="0C0AD9D3" w14:textId="77777777" w:rsidR="007F503C" w:rsidRPr="007F503C" w:rsidRDefault="007F503C" w:rsidP="007F503C">
            <w:pPr>
              <w:spacing w:line="360" w:lineRule="auto"/>
              <w:rPr>
                <w:rFonts w:ascii="Arial" w:hAnsi="Arial" w:cs="Arial"/>
              </w:rPr>
            </w:pPr>
            <w:r w:rsidRPr="007F503C">
              <w:rPr>
                <w:rFonts w:ascii="Arial" w:hAnsi="Arial" w:cs="Arial"/>
              </w:rPr>
              <w:t>Demand-Resource Mismatch</w:t>
            </w:r>
          </w:p>
        </w:tc>
        <w:tc>
          <w:tcPr>
            <w:tcW w:w="652" w:type="dxa"/>
          </w:tcPr>
          <w:p w14:paraId="175325EF"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6BE2F0BA"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7C3A0488"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58CCC413"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428AF1AE" w14:textId="77777777" w:rsidR="007F503C" w:rsidRPr="007F503C" w:rsidRDefault="007F503C" w:rsidP="007F503C">
            <w:pPr>
              <w:spacing w:line="360" w:lineRule="auto"/>
              <w:rPr>
                <w:rFonts w:ascii="Arial" w:hAnsi="Arial" w:cs="Arial"/>
              </w:rPr>
            </w:pPr>
          </w:p>
        </w:tc>
      </w:tr>
      <w:tr w:rsidR="007F503C" w:rsidRPr="007F503C" w14:paraId="191F4067" w14:textId="77777777" w:rsidTr="00A16B4F">
        <w:tc>
          <w:tcPr>
            <w:tcW w:w="3123" w:type="dxa"/>
          </w:tcPr>
          <w:p w14:paraId="63286217" w14:textId="77777777" w:rsidR="007F503C" w:rsidRPr="007F503C" w:rsidRDefault="007F503C" w:rsidP="007F503C">
            <w:pPr>
              <w:spacing w:line="360" w:lineRule="auto"/>
              <w:rPr>
                <w:rFonts w:ascii="Arial" w:hAnsi="Arial" w:cs="Arial"/>
              </w:rPr>
            </w:pPr>
            <w:r w:rsidRPr="007F503C">
              <w:rPr>
                <w:rFonts w:ascii="Arial" w:hAnsi="Arial" w:cs="Arial"/>
              </w:rPr>
              <w:t>Documentation</w:t>
            </w:r>
          </w:p>
        </w:tc>
        <w:tc>
          <w:tcPr>
            <w:tcW w:w="652" w:type="dxa"/>
          </w:tcPr>
          <w:p w14:paraId="1F47EAEB"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250BF5B1"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56DD433E"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0169875B"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487A5BC4" w14:textId="77777777" w:rsidR="007F503C" w:rsidRPr="007F503C" w:rsidRDefault="007F503C" w:rsidP="007F503C">
            <w:pPr>
              <w:spacing w:line="360" w:lineRule="auto"/>
              <w:rPr>
                <w:rFonts w:ascii="Arial" w:hAnsi="Arial" w:cs="Arial"/>
              </w:rPr>
            </w:pPr>
          </w:p>
        </w:tc>
      </w:tr>
      <w:tr w:rsidR="007F503C" w:rsidRPr="007F503C" w14:paraId="00646CCA" w14:textId="77777777" w:rsidTr="00A16B4F">
        <w:tc>
          <w:tcPr>
            <w:tcW w:w="3123" w:type="dxa"/>
          </w:tcPr>
          <w:p w14:paraId="5EF67852" w14:textId="77777777" w:rsidR="007F503C" w:rsidRPr="007F503C" w:rsidRDefault="007F503C" w:rsidP="007F503C">
            <w:pPr>
              <w:spacing w:line="360" w:lineRule="auto"/>
              <w:rPr>
                <w:rFonts w:ascii="Arial" w:hAnsi="Arial" w:cs="Arial"/>
              </w:rPr>
            </w:pPr>
            <w:r w:rsidRPr="007F503C">
              <w:rPr>
                <w:rFonts w:ascii="Arial" w:hAnsi="Arial" w:cs="Arial"/>
              </w:rPr>
              <w:t>Equipment/Tools/Technology</w:t>
            </w:r>
          </w:p>
        </w:tc>
        <w:tc>
          <w:tcPr>
            <w:tcW w:w="652" w:type="dxa"/>
          </w:tcPr>
          <w:p w14:paraId="3072D7E1"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40D09068"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1C40AC11"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7815CA2F"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76FA6E3F" w14:textId="77777777" w:rsidR="007F503C" w:rsidRPr="007F503C" w:rsidRDefault="007F503C" w:rsidP="007F503C">
            <w:pPr>
              <w:spacing w:line="360" w:lineRule="auto"/>
              <w:rPr>
                <w:rFonts w:ascii="Arial" w:hAnsi="Arial" w:cs="Arial"/>
              </w:rPr>
            </w:pPr>
          </w:p>
        </w:tc>
      </w:tr>
      <w:tr w:rsidR="007F503C" w:rsidRPr="007F503C" w14:paraId="54DD3852" w14:textId="77777777" w:rsidTr="00A16B4F">
        <w:tc>
          <w:tcPr>
            <w:tcW w:w="3123" w:type="dxa"/>
          </w:tcPr>
          <w:p w14:paraId="27AE2546" w14:textId="77777777" w:rsidR="007F503C" w:rsidRPr="007F503C" w:rsidRDefault="007F503C" w:rsidP="007F503C">
            <w:pPr>
              <w:spacing w:line="360" w:lineRule="auto"/>
              <w:rPr>
                <w:rFonts w:ascii="Arial" w:hAnsi="Arial" w:cs="Arial"/>
              </w:rPr>
            </w:pPr>
            <w:r w:rsidRPr="007F503C">
              <w:rPr>
                <w:rFonts w:ascii="Arial" w:hAnsi="Arial" w:cs="Arial"/>
              </w:rPr>
              <w:t>Teamwork/Coordinating Activities</w:t>
            </w:r>
          </w:p>
        </w:tc>
        <w:tc>
          <w:tcPr>
            <w:tcW w:w="652" w:type="dxa"/>
          </w:tcPr>
          <w:p w14:paraId="5ED8C87E"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3D907EBD"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6B5AE0E4"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18726891"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78223F24" w14:textId="77777777" w:rsidR="007F503C" w:rsidRPr="007F503C" w:rsidRDefault="007F503C" w:rsidP="007F503C">
            <w:pPr>
              <w:spacing w:line="360" w:lineRule="auto"/>
              <w:rPr>
                <w:rFonts w:ascii="Arial" w:hAnsi="Arial" w:cs="Arial"/>
              </w:rPr>
            </w:pPr>
          </w:p>
        </w:tc>
      </w:tr>
      <w:tr w:rsidR="007F503C" w:rsidRPr="007F503C" w14:paraId="3916AD18" w14:textId="77777777" w:rsidTr="00A16B4F">
        <w:tc>
          <w:tcPr>
            <w:tcW w:w="3123" w:type="dxa"/>
          </w:tcPr>
          <w:p w14:paraId="45C67F86" w14:textId="77777777" w:rsidR="007F503C" w:rsidRPr="007F503C" w:rsidRDefault="007F503C" w:rsidP="007F503C">
            <w:pPr>
              <w:spacing w:line="360" w:lineRule="auto"/>
              <w:rPr>
                <w:rFonts w:ascii="Arial" w:hAnsi="Arial" w:cs="Arial"/>
              </w:rPr>
            </w:pPr>
            <w:r w:rsidRPr="007F503C">
              <w:rPr>
                <w:rFonts w:ascii="Arial" w:hAnsi="Arial" w:cs="Arial"/>
              </w:rPr>
              <w:t>Knowledge Gap</w:t>
            </w:r>
          </w:p>
        </w:tc>
        <w:tc>
          <w:tcPr>
            <w:tcW w:w="652" w:type="dxa"/>
          </w:tcPr>
          <w:p w14:paraId="6B171A6F"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705DFD99"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60D6B85D"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286BA346"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446385F4" w14:textId="77777777" w:rsidR="007F503C" w:rsidRPr="007F503C" w:rsidRDefault="007F503C" w:rsidP="007F503C">
            <w:pPr>
              <w:spacing w:line="360" w:lineRule="auto"/>
              <w:rPr>
                <w:rFonts w:ascii="Arial" w:hAnsi="Arial" w:cs="Arial"/>
              </w:rPr>
            </w:pPr>
          </w:p>
        </w:tc>
      </w:tr>
      <w:tr w:rsidR="007F503C" w:rsidRPr="007F503C" w14:paraId="3166D243" w14:textId="77777777" w:rsidTr="00A16B4F">
        <w:tc>
          <w:tcPr>
            <w:tcW w:w="3123" w:type="dxa"/>
          </w:tcPr>
          <w:p w14:paraId="35FB4830" w14:textId="77777777" w:rsidR="007F503C" w:rsidRPr="007F503C" w:rsidRDefault="007F503C" w:rsidP="007F503C">
            <w:pPr>
              <w:spacing w:line="360" w:lineRule="auto"/>
              <w:rPr>
                <w:rFonts w:ascii="Arial" w:hAnsi="Arial" w:cs="Arial"/>
              </w:rPr>
            </w:pPr>
            <w:r w:rsidRPr="007F503C">
              <w:rPr>
                <w:rFonts w:ascii="Arial" w:hAnsi="Arial" w:cs="Arial"/>
              </w:rPr>
              <w:t>Medical</w:t>
            </w:r>
          </w:p>
        </w:tc>
        <w:tc>
          <w:tcPr>
            <w:tcW w:w="652" w:type="dxa"/>
          </w:tcPr>
          <w:p w14:paraId="040D2472"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073BD613"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1D905445"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44FDABD7"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52B6299A" w14:textId="77777777" w:rsidR="007F503C" w:rsidRPr="007F503C" w:rsidRDefault="007F503C" w:rsidP="007F503C">
            <w:pPr>
              <w:spacing w:line="360" w:lineRule="auto"/>
              <w:rPr>
                <w:rFonts w:ascii="Arial" w:hAnsi="Arial" w:cs="Arial"/>
              </w:rPr>
            </w:pPr>
          </w:p>
        </w:tc>
      </w:tr>
      <w:tr w:rsidR="007F503C" w:rsidRPr="007F503C" w14:paraId="2A7DC495" w14:textId="77777777" w:rsidTr="00A16B4F">
        <w:tc>
          <w:tcPr>
            <w:tcW w:w="3123" w:type="dxa"/>
          </w:tcPr>
          <w:p w14:paraId="509D1B99" w14:textId="77777777" w:rsidR="007F503C" w:rsidRPr="007F503C" w:rsidRDefault="007F503C" w:rsidP="007F503C">
            <w:pPr>
              <w:spacing w:line="360" w:lineRule="auto"/>
              <w:rPr>
                <w:rFonts w:ascii="Arial" w:hAnsi="Arial" w:cs="Arial"/>
              </w:rPr>
            </w:pPr>
            <w:r w:rsidRPr="007F503C">
              <w:rPr>
                <w:rFonts w:ascii="Arial" w:hAnsi="Arial" w:cs="Arial"/>
              </w:rPr>
              <w:t>Prescribed Practice</w:t>
            </w:r>
          </w:p>
        </w:tc>
        <w:tc>
          <w:tcPr>
            <w:tcW w:w="652" w:type="dxa"/>
          </w:tcPr>
          <w:p w14:paraId="36388C75"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3271301C"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3B4F6037"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6F2AE0BD"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5AFCACCB" w14:textId="77777777" w:rsidR="007F503C" w:rsidRPr="007F503C" w:rsidRDefault="007F503C" w:rsidP="007F503C">
            <w:pPr>
              <w:spacing w:line="360" w:lineRule="auto"/>
              <w:rPr>
                <w:rFonts w:ascii="Arial" w:hAnsi="Arial" w:cs="Arial"/>
              </w:rPr>
            </w:pPr>
          </w:p>
        </w:tc>
      </w:tr>
      <w:tr w:rsidR="007F503C" w:rsidRPr="007F503C" w14:paraId="30716923" w14:textId="77777777" w:rsidTr="00A16B4F">
        <w:tc>
          <w:tcPr>
            <w:tcW w:w="3123" w:type="dxa"/>
          </w:tcPr>
          <w:p w14:paraId="35EB63FE" w14:textId="77777777" w:rsidR="007F503C" w:rsidRPr="007F503C" w:rsidRDefault="007F503C" w:rsidP="007F503C">
            <w:pPr>
              <w:spacing w:line="360" w:lineRule="auto"/>
              <w:rPr>
                <w:rFonts w:ascii="Arial" w:hAnsi="Arial" w:cs="Arial"/>
              </w:rPr>
            </w:pPr>
            <w:r w:rsidRPr="007F503C">
              <w:rPr>
                <w:rFonts w:ascii="Arial" w:hAnsi="Arial" w:cs="Arial"/>
              </w:rPr>
              <w:t>Production/Efficiency Pressure</w:t>
            </w:r>
          </w:p>
        </w:tc>
        <w:tc>
          <w:tcPr>
            <w:tcW w:w="652" w:type="dxa"/>
          </w:tcPr>
          <w:p w14:paraId="2267D547"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046DBBA5"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00C45AEC"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07E0C922"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5590D613" w14:textId="77777777" w:rsidR="007F503C" w:rsidRPr="007F503C" w:rsidRDefault="007F503C" w:rsidP="007F503C">
            <w:pPr>
              <w:spacing w:line="360" w:lineRule="auto"/>
              <w:rPr>
                <w:rFonts w:ascii="Arial" w:hAnsi="Arial" w:cs="Arial"/>
              </w:rPr>
            </w:pPr>
          </w:p>
        </w:tc>
      </w:tr>
      <w:tr w:rsidR="007F503C" w:rsidRPr="007F503C" w14:paraId="500E091C" w14:textId="77777777" w:rsidTr="00A16B4F">
        <w:tc>
          <w:tcPr>
            <w:tcW w:w="3123" w:type="dxa"/>
          </w:tcPr>
          <w:p w14:paraId="09DB37CA" w14:textId="77777777" w:rsidR="007F503C" w:rsidRPr="007F503C" w:rsidRDefault="007F503C" w:rsidP="007F503C">
            <w:pPr>
              <w:spacing w:line="360" w:lineRule="auto"/>
              <w:rPr>
                <w:rFonts w:ascii="Arial" w:hAnsi="Arial" w:cs="Arial"/>
              </w:rPr>
            </w:pPr>
            <w:r w:rsidRPr="007F503C">
              <w:rPr>
                <w:rFonts w:ascii="Arial" w:hAnsi="Arial" w:cs="Arial"/>
              </w:rPr>
              <w:t>Service Availability</w:t>
            </w:r>
          </w:p>
        </w:tc>
        <w:tc>
          <w:tcPr>
            <w:tcW w:w="652" w:type="dxa"/>
          </w:tcPr>
          <w:p w14:paraId="39F7EC37"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772DDDC8"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35A23FC3"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2C74EA4B"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1C4CF98B" w14:textId="77777777" w:rsidR="007F503C" w:rsidRPr="007F503C" w:rsidRDefault="007F503C" w:rsidP="007F503C">
            <w:pPr>
              <w:spacing w:line="360" w:lineRule="auto"/>
              <w:rPr>
                <w:rFonts w:ascii="Arial" w:hAnsi="Arial" w:cs="Arial"/>
              </w:rPr>
            </w:pPr>
          </w:p>
        </w:tc>
      </w:tr>
      <w:tr w:rsidR="007F503C" w:rsidRPr="007F503C" w14:paraId="19923261" w14:textId="77777777" w:rsidTr="00A16B4F">
        <w:tc>
          <w:tcPr>
            <w:tcW w:w="3123" w:type="dxa"/>
          </w:tcPr>
          <w:p w14:paraId="4580592E" w14:textId="77777777" w:rsidR="007F503C" w:rsidRPr="007F503C" w:rsidRDefault="007F503C" w:rsidP="007F503C">
            <w:pPr>
              <w:spacing w:line="360" w:lineRule="auto"/>
              <w:rPr>
                <w:rFonts w:ascii="Arial" w:hAnsi="Arial" w:cs="Arial"/>
              </w:rPr>
            </w:pPr>
            <w:r w:rsidRPr="007F503C">
              <w:rPr>
                <w:rFonts w:ascii="Arial" w:hAnsi="Arial" w:cs="Arial"/>
              </w:rPr>
              <w:t>Supervisory Support</w:t>
            </w:r>
          </w:p>
        </w:tc>
        <w:tc>
          <w:tcPr>
            <w:tcW w:w="652" w:type="dxa"/>
          </w:tcPr>
          <w:p w14:paraId="67EA03AA"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179B7550"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41F04EC3"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3B0A5A5E"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1739A596" w14:textId="77777777" w:rsidR="007F503C" w:rsidRPr="007F503C" w:rsidRDefault="007F503C" w:rsidP="007F503C">
            <w:pPr>
              <w:spacing w:line="360" w:lineRule="auto"/>
              <w:rPr>
                <w:rFonts w:ascii="Arial" w:hAnsi="Arial" w:cs="Arial"/>
              </w:rPr>
            </w:pPr>
          </w:p>
        </w:tc>
      </w:tr>
      <w:tr w:rsidR="007F503C" w:rsidRPr="007F503C" w14:paraId="0BE4069E" w14:textId="77777777" w:rsidTr="00A16B4F">
        <w:tc>
          <w:tcPr>
            <w:tcW w:w="3123" w:type="dxa"/>
          </w:tcPr>
          <w:p w14:paraId="18A36046" w14:textId="77777777" w:rsidR="007F503C" w:rsidRPr="007F503C" w:rsidRDefault="007F503C" w:rsidP="007F503C">
            <w:pPr>
              <w:spacing w:line="360" w:lineRule="auto"/>
              <w:rPr>
                <w:rFonts w:ascii="Arial" w:hAnsi="Arial" w:cs="Arial"/>
              </w:rPr>
            </w:pPr>
            <w:r w:rsidRPr="007F503C">
              <w:rPr>
                <w:rFonts w:ascii="Arial" w:hAnsi="Arial" w:cs="Arial"/>
              </w:rPr>
              <w:t>Procedural Drift</w:t>
            </w:r>
          </w:p>
        </w:tc>
        <w:tc>
          <w:tcPr>
            <w:tcW w:w="652" w:type="dxa"/>
          </w:tcPr>
          <w:p w14:paraId="4EB11746" w14:textId="77777777" w:rsidR="007F503C" w:rsidRPr="007F503C" w:rsidRDefault="007F503C" w:rsidP="007F503C">
            <w:pPr>
              <w:spacing w:line="360" w:lineRule="auto"/>
              <w:jc w:val="center"/>
              <w:rPr>
                <w:rFonts w:ascii="Arial" w:hAnsi="Arial" w:cs="Arial"/>
              </w:rPr>
            </w:pPr>
            <w:r w:rsidRPr="007F503C">
              <w:rPr>
                <w:rFonts w:ascii="Arial" w:hAnsi="Arial" w:cs="Arial"/>
              </w:rPr>
              <w:t>0</w:t>
            </w:r>
          </w:p>
        </w:tc>
        <w:tc>
          <w:tcPr>
            <w:tcW w:w="630" w:type="dxa"/>
          </w:tcPr>
          <w:p w14:paraId="7AD6BAF5" w14:textId="77777777" w:rsidR="007F503C" w:rsidRPr="007F503C" w:rsidRDefault="007F503C" w:rsidP="007F503C">
            <w:pPr>
              <w:spacing w:line="360" w:lineRule="auto"/>
              <w:jc w:val="center"/>
              <w:rPr>
                <w:rFonts w:ascii="Arial" w:hAnsi="Arial" w:cs="Arial"/>
              </w:rPr>
            </w:pPr>
            <w:r w:rsidRPr="007F503C">
              <w:rPr>
                <w:rFonts w:ascii="Arial" w:hAnsi="Arial" w:cs="Arial"/>
              </w:rPr>
              <w:t>1</w:t>
            </w:r>
          </w:p>
        </w:tc>
        <w:tc>
          <w:tcPr>
            <w:tcW w:w="720" w:type="dxa"/>
          </w:tcPr>
          <w:p w14:paraId="1ACF43BD" w14:textId="77777777" w:rsidR="007F503C" w:rsidRPr="007F503C" w:rsidRDefault="007F503C" w:rsidP="007F503C">
            <w:pPr>
              <w:spacing w:line="360" w:lineRule="auto"/>
              <w:jc w:val="center"/>
              <w:rPr>
                <w:rFonts w:ascii="Arial" w:hAnsi="Arial" w:cs="Arial"/>
              </w:rPr>
            </w:pPr>
            <w:r w:rsidRPr="007F503C">
              <w:rPr>
                <w:rFonts w:ascii="Arial" w:hAnsi="Arial" w:cs="Arial"/>
              </w:rPr>
              <w:t>2</w:t>
            </w:r>
          </w:p>
        </w:tc>
        <w:tc>
          <w:tcPr>
            <w:tcW w:w="757" w:type="dxa"/>
          </w:tcPr>
          <w:p w14:paraId="1C667185" w14:textId="77777777" w:rsidR="007F503C" w:rsidRPr="007F503C" w:rsidRDefault="007F503C" w:rsidP="007F503C">
            <w:pPr>
              <w:spacing w:line="360" w:lineRule="auto"/>
              <w:jc w:val="center"/>
              <w:rPr>
                <w:rFonts w:ascii="Arial" w:hAnsi="Arial" w:cs="Arial"/>
              </w:rPr>
            </w:pPr>
            <w:r w:rsidRPr="007F503C">
              <w:rPr>
                <w:rFonts w:ascii="Arial" w:hAnsi="Arial" w:cs="Arial"/>
              </w:rPr>
              <w:t>3</w:t>
            </w:r>
          </w:p>
        </w:tc>
        <w:tc>
          <w:tcPr>
            <w:tcW w:w="3468" w:type="dxa"/>
          </w:tcPr>
          <w:p w14:paraId="211DB636" w14:textId="77777777" w:rsidR="007F503C" w:rsidRPr="007F503C" w:rsidRDefault="007F503C" w:rsidP="007F503C">
            <w:pPr>
              <w:spacing w:line="360" w:lineRule="auto"/>
              <w:rPr>
                <w:rFonts w:ascii="Arial" w:hAnsi="Arial" w:cs="Arial"/>
              </w:rPr>
            </w:pPr>
          </w:p>
        </w:tc>
      </w:tr>
    </w:tbl>
    <w:p w14:paraId="45DE9C70" w14:textId="77777777" w:rsidR="007F503C" w:rsidRPr="007F503C" w:rsidRDefault="007F503C" w:rsidP="007F503C">
      <w:pPr>
        <w:spacing w:line="360" w:lineRule="auto"/>
        <w:rPr>
          <w:rFonts w:ascii="Arial" w:hAnsi="Arial" w:cs="Arial"/>
          <w:sz w:val="28"/>
          <w:szCs w:val="28"/>
        </w:rPr>
      </w:pPr>
    </w:p>
    <w:p w14:paraId="082441A5"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9" w:name="_Toc20774115"/>
      <w:r w:rsidRPr="007F503C">
        <w:rPr>
          <w:rFonts w:ascii="Arial" w:hAnsi="Arial" w:cs="Arial"/>
          <w:b/>
          <w:sz w:val="32"/>
          <w:szCs w:val="32"/>
          <w:u w:val="single"/>
        </w:rPr>
        <w:t>Multi-Disciplinary Team – Data Action Review</w:t>
      </w:r>
      <w:bookmarkEnd w:id="9"/>
    </w:p>
    <w:p w14:paraId="71F6F8F5" w14:textId="1BB2D0FE"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The MDT meeting will be extended at certain points in the year when the SSR team has determined that enough data exists to be presented.  During the extended meetings (data action group </w:t>
      </w:r>
      <w:bookmarkStart w:id="10" w:name="_GoBack"/>
      <w:bookmarkEnd w:id="10"/>
      <w:r w:rsidR="00154BA6" w:rsidRPr="007F503C">
        <w:rPr>
          <w:rFonts w:ascii="Arial" w:hAnsi="Arial" w:cs="Arial"/>
          <w:sz w:val="28"/>
          <w:szCs w:val="28"/>
        </w:rPr>
        <w:t>meeting),</w:t>
      </w:r>
      <w:r w:rsidRPr="007F503C">
        <w:rPr>
          <w:rFonts w:ascii="Arial" w:hAnsi="Arial" w:cs="Arial"/>
          <w:sz w:val="28"/>
          <w:szCs w:val="28"/>
        </w:rPr>
        <w:t xml:space="preserve"> the team will review data compiled from the cases previously selected for human factors debriefings and mapping.  The MDT will evaluate the presenting themes and develop areas for potential improvement.  The conclusions reached will be forwarded to the central office SAG. </w:t>
      </w:r>
    </w:p>
    <w:p w14:paraId="323B5970"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11" w:name="_Toc20774116"/>
      <w:r w:rsidRPr="007F503C">
        <w:rPr>
          <w:rFonts w:ascii="Arial" w:hAnsi="Arial" w:cs="Arial"/>
          <w:b/>
          <w:sz w:val="32"/>
          <w:szCs w:val="32"/>
          <w:u w:val="single"/>
        </w:rPr>
        <w:t>Safety Action Group (SAG)</w:t>
      </w:r>
      <w:bookmarkEnd w:id="11"/>
    </w:p>
    <w:p w14:paraId="29E2E851" w14:textId="7555B274" w:rsidR="007F503C" w:rsidRPr="007F503C" w:rsidRDefault="007F503C" w:rsidP="007F503C">
      <w:pPr>
        <w:spacing w:line="360" w:lineRule="auto"/>
        <w:rPr>
          <w:rFonts w:ascii="Arial" w:hAnsi="Arial" w:cs="Arial"/>
          <w:sz w:val="28"/>
        </w:rPr>
      </w:pPr>
      <w:r w:rsidRPr="007F503C">
        <w:rPr>
          <w:rFonts w:ascii="Arial" w:hAnsi="Arial" w:cs="Arial"/>
          <w:sz w:val="28"/>
        </w:rPr>
        <w:t>The SAG meets once per calendar year or more frequently as requested or necessary.  The purpose of the SAG is to review the data and recommendations of the data action g</w:t>
      </w:r>
      <w:r w:rsidRPr="007F503C">
        <w:rPr>
          <w:rFonts w:ascii="Arial" w:hAnsi="Arial" w:cs="Arial"/>
          <w:sz w:val="28"/>
        </w:rPr>
        <w:t xml:space="preserve">roup </w:t>
      </w:r>
      <w:r w:rsidRPr="007F503C">
        <w:rPr>
          <w:rFonts w:ascii="Arial" w:hAnsi="Arial" w:cs="Arial"/>
          <w:sz w:val="28"/>
        </w:rPr>
        <w:t>and monitor improvements to respond to factors found to be influencing practice.  This may include DCBS policy, practice, statute, regulation, budget allocation, or initiatives.  The factor could be an internal issue or an issue involving an outside agency or entity.</w:t>
      </w:r>
    </w:p>
    <w:p w14:paraId="00F741F9"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Members of the SAG will include:  </w:t>
      </w:r>
    </w:p>
    <w:p w14:paraId="28AA9911"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The DCBS commissioner;</w:t>
      </w:r>
    </w:p>
    <w:p w14:paraId="33BEF014"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The DCBS deputy commissioner;</w:t>
      </w:r>
    </w:p>
    <w:p w14:paraId="3F0CF882"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 xml:space="preserve">The DPP director; </w:t>
      </w:r>
    </w:p>
    <w:p w14:paraId="6FA66F20"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The DSR director;</w:t>
      </w:r>
    </w:p>
    <w:p w14:paraId="5F020354"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 xml:space="preserve">Executive director of the Training Resource Center; </w:t>
      </w:r>
    </w:p>
    <w:p w14:paraId="6B468C26"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General counsel;</w:t>
      </w:r>
    </w:p>
    <w:p w14:paraId="0C7B7775"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The DSR Field Quality Branch manager; and</w:t>
      </w:r>
    </w:p>
    <w:p w14:paraId="77A27B79" w14:textId="77777777" w:rsidR="007F503C" w:rsidRPr="007F503C" w:rsidRDefault="007F503C" w:rsidP="007F503C">
      <w:pPr>
        <w:numPr>
          <w:ilvl w:val="0"/>
          <w:numId w:val="3"/>
        </w:numPr>
        <w:spacing w:line="360" w:lineRule="auto"/>
        <w:contextualSpacing/>
        <w:rPr>
          <w:rFonts w:ascii="Arial" w:hAnsi="Arial" w:cs="Arial"/>
          <w:sz w:val="28"/>
          <w:szCs w:val="28"/>
        </w:rPr>
      </w:pPr>
      <w:r w:rsidRPr="007F503C">
        <w:rPr>
          <w:rFonts w:ascii="Arial" w:hAnsi="Arial" w:cs="Arial"/>
          <w:sz w:val="28"/>
          <w:szCs w:val="28"/>
        </w:rPr>
        <w:t xml:space="preserve">Any staff as requested by the DCBS commissioner’s office. </w:t>
      </w:r>
    </w:p>
    <w:p w14:paraId="2F67C519" w14:textId="77777777" w:rsidR="007F503C" w:rsidRPr="007F503C" w:rsidRDefault="007F503C" w:rsidP="007F503C">
      <w:pPr>
        <w:numPr>
          <w:ilvl w:val="0"/>
          <w:numId w:val="23"/>
        </w:numPr>
        <w:spacing w:line="360" w:lineRule="auto"/>
        <w:outlineLvl w:val="1"/>
        <w:rPr>
          <w:rFonts w:ascii="Arial" w:hAnsi="Arial" w:cs="Arial"/>
          <w:b/>
          <w:sz w:val="32"/>
          <w:szCs w:val="32"/>
          <w:u w:val="single"/>
        </w:rPr>
      </w:pPr>
      <w:bookmarkStart w:id="12" w:name="_Toc20774117"/>
      <w:r w:rsidRPr="007F503C">
        <w:rPr>
          <w:rFonts w:ascii="Arial" w:hAnsi="Arial" w:cs="Arial"/>
          <w:b/>
          <w:sz w:val="32"/>
          <w:szCs w:val="32"/>
          <w:u w:val="single"/>
        </w:rPr>
        <w:t>Annual Fatality Report</w:t>
      </w:r>
      <w:bookmarkEnd w:id="12"/>
    </w:p>
    <w:p w14:paraId="3B01188A" w14:textId="77777777" w:rsidR="007F503C" w:rsidRPr="007F503C" w:rsidRDefault="007F503C" w:rsidP="007F503C">
      <w:pPr>
        <w:spacing w:line="360" w:lineRule="auto"/>
        <w:rPr>
          <w:rFonts w:ascii="Arial" w:hAnsi="Arial" w:cs="Arial"/>
          <w:sz w:val="28"/>
          <w:szCs w:val="28"/>
        </w:rPr>
      </w:pPr>
      <w:r w:rsidRPr="007F503C">
        <w:rPr>
          <w:rFonts w:ascii="Arial" w:hAnsi="Arial" w:cs="Arial"/>
          <w:sz w:val="28"/>
          <w:szCs w:val="28"/>
        </w:rPr>
        <w:t xml:space="preserve">Data and actions taken in response to the findings of the SSR process will be incorporated in to the Annual Fatality Report provided to the governor, the General Assembly, and the state child fatality review team each year. </w:t>
      </w:r>
    </w:p>
    <w:p w14:paraId="34173269" w14:textId="77777777" w:rsidR="007F503C" w:rsidRPr="007F503C" w:rsidRDefault="007F503C" w:rsidP="007F503C">
      <w:pPr>
        <w:spacing w:line="360" w:lineRule="auto"/>
        <w:jc w:val="both"/>
        <w:rPr>
          <w:rFonts w:ascii="Arial" w:hAnsi="Arial" w:cs="Arial"/>
          <w:sz w:val="28"/>
          <w:szCs w:val="28"/>
        </w:rPr>
      </w:pPr>
    </w:p>
    <w:p w14:paraId="0755AED2" w14:textId="77777777" w:rsidR="00AD0C3D" w:rsidRPr="007F503C" w:rsidRDefault="00AD0C3D" w:rsidP="007F503C"/>
    <w:sectPr w:rsidR="00AD0C3D" w:rsidRPr="007F503C" w:rsidSect="00F008DE">
      <w:footerReference w:type="default" r:id="rId15"/>
      <w:headerReference w:type="first" r:id="rId16"/>
      <w:footerReference w:type="first" r:id="rId17"/>
      <w:type w:val="continuous"/>
      <w:pgSz w:w="12240" w:h="15840" w:code="1"/>
      <w:pgMar w:top="1440" w:right="1440" w:bottom="1440" w:left="1440"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BAD221" w16cid:durableId="2108F9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BF974" w14:textId="77777777" w:rsidR="006D71AB" w:rsidRDefault="006D71AB" w:rsidP="00B13DFF">
      <w:pPr>
        <w:spacing w:after="0" w:line="240" w:lineRule="auto"/>
      </w:pPr>
      <w:r>
        <w:separator/>
      </w:r>
    </w:p>
  </w:endnote>
  <w:endnote w:type="continuationSeparator" w:id="0">
    <w:p w14:paraId="2AA5B3FF" w14:textId="77777777" w:rsidR="006D71AB" w:rsidRDefault="006D71AB" w:rsidP="00B1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017243"/>
      <w:docPartObj>
        <w:docPartGallery w:val="Page Numbers (Bottom of Page)"/>
        <w:docPartUnique/>
      </w:docPartObj>
    </w:sdtPr>
    <w:sdtEndPr/>
    <w:sdtContent>
      <w:p w14:paraId="146E05AC" w14:textId="60A2C0EB" w:rsidR="00B020F9" w:rsidRDefault="00B020F9">
        <w:pPr>
          <w:pStyle w:val="Footer"/>
          <w:jc w:val="right"/>
        </w:pPr>
        <w:r>
          <w:t xml:space="preserve">Page | </w:t>
        </w:r>
        <w:r>
          <w:fldChar w:fldCharType="begin"/>
        </w:r>
        <w:r>
          <w:instrText xml:space="preserve"> PAGE   \* MERGEFORMAT </w:instrText>
        </w:r>
        <w:r>
          <w:fldChar w:fldCharType="separate"/>
        </w:r>
        <w:r w:rsidR="00154BA6">
          <w:rPr>
            <w:noProof/>
          </w:rPr>
          <w:t>16</w:t>
        </w:r>
        <w:r>
          <w:rPr>
            <w:noProof/>
          </w:rPr>
          <w:fldChar w:fldCharType="end"/>
        </w:r>
        <w:r>
          <w:t xml:space="preserve"> </w:t>
        </w:r>
      </w:p>
    </w:sdtContent>
  </w:sdt>
  <w:p w14:paraId="5BDC4AA9" w14:textId="77777777" w:rsidR="00B020F9" w:rsidRDefault="00B020F9" w:rsidP="000D2481">
    <w:pPr>
      <w:pStyle w:val="Footer"/>
      <w:tabs>
        <w:tab w:val="clear" w:pos="4680"/>
        <w:tab w:val="clear" w:pos="9360"/>
        <w:tab w:val="left" w:pos="8314"/>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415399"/>
      <w:docPartObj>
        <w:docPartGallery w:val="Page Numbers (Bottom of Page)"/>
        <w:docPartUnique/>
      </w:docPartObj>
    </w:sdtPr>
    <w:sdtEndPr/>
    <w:sdtContent>
      <w:p w14:paraId="1B935E76" w14:textId="437F749E" w:rsidR="00B020F9" w:rsidRDefault="00B020F9">
        <w:pPr>
          <w:pStyle w:val="Footer"/>
          <w:jc w:val="right"/>
        </w:pPr>
        <w:r>
          <w:t xml:space="preserve">Page | </w:t>
        </w:r>
        <w:r>
          <w:fldChar w:fldCharType="begin"/>
        </w:r>
        <w:r>
          <w:instrText xml:space="preserve"> PAGE   \* MERGEFORMAT </w:instrText>
        </w:r>
        <w:r>
          <w:fldChar w:fldCharType="separate"/>
        </w:r>
        <w:r w:rsidR="007F503C">
          <w:rPr>
            <w:noProof/>
          </w:rPr>
          <w:t>1</w:t>
        </w:r>
        <w:r>
          <w:rPr>
            <w:noProof/>
          </w:rPr>
          <w:fldChar w:fldCharType="end"/>
        </w:r>
        <w:r>
          <w:t xml:space="preserve"> </w:t>
        </w:r>
      </w:p>
    </w:sdtContent>
  </w:sdt>
  <w:p w14:paraId="7F9BA197" w14:textId="77777777" w:rsidR="00B020F9" w:rsidRDefault="00B02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7996E" w14:textId="77777777" w:rsidR="006D71AB" w:rsidRDefault="006D71AB" w:rsidP="00B13DFF">
      <w:pPr>
        <w:spacing w:after="0" w:line="240" w:lineRule="auto"/>
      </w:pPr>
      <w:r>
        <w:separator/>
      </w:r>
    </w:p>
  </w:footnote>
  <w:footnote w:type="continuationSeparator" w:id="0">
    <w:p w14:paraId="6674DDE0" w14:textId="77777777" w:rsidR="006D71AB" w:rsidRDefault="006D71AB" w:rsidP="00B13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561F7" w14:textId="77F03FA1" w:rsidR="007F503C" w:rsidRDefault="007F503C">
    <w:pPr>
      <w:pStyle w:val="Header"/>
    </w:pPr>
    <w:r>
      <w:t>9/2021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165E7"/>
    <w:multiLevelType w:val="multilevel"/>
    <w:tmpl w:val="C5ACE09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09A948E3"/>
    <w:multiLevelType w:val="hybridMultilevel"/>
    <w:tmpl w:val="AB345E5C"/>
    <w:lvl w:ilvl="0" w:tplc="76865298">
      <w:start w:val="1"/>
      <w:numFmt w:val="upperRoman"/>
      <w:lvlText w:val="%1."/>
      <w:lvlJc w:val="right"/>
      <w:pPr>
        <w:ind w:left="1440" w:hanging="360"/>
      </w:pPr>
      <w:rPr>
        <w:rFonts w:ascii="Arial" w:hAnsi="Arial" w:cs="Arial" w:hint="default"/>
        <w:b w:val="0"/>
        <w:i w:val="0"/>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3E595C"/>
    <w:multiLevelType w:val="hybridMultilevel"/>
    <w:tmpl w:val="C24A4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913726"/>
    <w:multiLevelType w:val="hybridMultilevel"/>
    <w:tmpl w:val="50FC3356"/>
    <w:lvl w:ilvl="0" w:tplc="E6783C4E">
      <w:start w:val="1"/>
      <w:numFmt w:val="upperRoman"/>
      <w:pStyle w:val="Heading2"/>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C1EEE"/>
    <w:multiLevelType w:val="hybridMultilevel"/>
    <w:tmpl w:val="6A104A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A38B5"/>
    <w:multiLevelType w:val="hybridMultilevel"/>
    <w:tmpl w:val="6194FFD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728A6"/>
    <w:multiLevelType w:val="hybridMultilevel"/>
    <w:tmpl w:val="56DA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E52A3"/>
    <w:multiLevelType w:val="hybridMultilevel"/>
    <w:tmpl w:val="0A607C8E"/>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4B4626"/>
    <w:multiLevelType w:val="hybridMultilevel"/>
    <w:tmpl w:val="A250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35314"/>
    <w:multiLevelType w:val="multilevel"/>
    <w:tmpl w:val="FADC91BC"/>
    <w:lvl w:ilvl="0">
      <w:start w:val="1"/>
      <w:numFmt w:val="upperRoman"/>
      <w:lvlText w:val="%1."/>
      <w:lvlJc w:val="left"/>
      <w:pPr>
        <w:ind w:left="0" w:firstLine="0"/>
      </w:pPr>
      <w:rPr>
        <w:color w:val="auto"/>
      </w:rPr>
    </w:lvl>
    <w:lvl w:ilvl="1">
      <w:start w:val="1"/>
      <w:numFmt w:val="upperLetter"/>
      <w:lvlText w:val="%2."/>
      <w:lvlJc w:val="left"/>
      <w:pPr>
        <w:ind w:left="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0" w15:restartNumberingAfterBreak="0">
    <w:nsid w:val="2BEF2712"/>
    <w:multiLevelType w:val="hybridMultilevel"/>
    <w:tmpl w:val="3568440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1F6DFB"/>
    <w:multiLevelType w:val="hybridMultilevel"/>
    <w:tmpl w:val="E50815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8A841EA"/>
    <w:multiLevelType w:val="hybridMultilevel"/>
    <w:tmpl w:val="C3DA1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44F78"/>
    <w:multiLevelType w:val="hybridMultilevel"/>
    <w:tmpl w:val="E786B2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60868"/>
    <w:multiLevelType w:val="hybridMultilevel"/>
    <w:tmpl w:val="474EE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CB5B97"/>
    <w:multiLevelType w:val="hybridMultilevel"/>
    <w:tmpl w:val="E2264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AF8225D"/>
    <w:multiLevelType w:val="hybridMultilevel"/>
    <w:tmpl w:val="1026D3E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60097E57"/>
    <w:multiLevelType w:val="hybridMultilevel"/>
    <w:tmpl w:val="5456F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24232"/>
    <w:multiLevelType w:val="hybridMultilevel"/>
    <w:tmpl w:val="53207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73E58"/>
    <w:multiLevelType w:val="hybridMultilevel"/>
    <w:tmpl w:val="1118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1D3861"/>
    <w:multiLevelType w:val="hybridMultilevel"/>
    <w:tmpl w:val="5FC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D1BDF"/>
    <w:multiLevelType w:val="hybridMultilevel"/>
    <w:tmpl w:val="FF646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689265B"/>
    <w:multiLevelType w:val="hybridMultilevel"/>
    <w:tmpl w:val="4E661C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9132E61"/>
    <w:multiLevelType w:val="hybridMultilevel"/>
    <w:tmpl w:val="E004911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2"/>
  </w:num>
  <w:num w:numId="4">
    <w:abstractNumId w:val="0"/>
  </w:num>
  <w:num w:numId="5">
    <w:abstractNumId w:val="15"/>
  </w:num>
  <w:num w:numId="6">
    <w:abstractNumId w:val="2"/>
  </w:num>
  <w:num w:numId="7">
    <w:abstractNumId w:val="9"/>
  </w:num>
  <w:num w:numId="8">
    <w:abstractNumId w:val="14"/>
  </w:num>
  <w:num w:numId="9">
    <w:abstractNumId w:val="19"/>
  </w:num>
  <w:num w:numId="10">
    <w:abstractNumId w:val="17"/>
  </w:num>
  <w:num w:numId="11">
    <w:abstractNumId w:val="8"/>
  </w:num>
  <w:num w:numId="12">
    <w:abstractNumId w:val="18"/>
  </w:num>
  <w:num w:numId="13">
    <w:abstractNumId w:val="16"/>
  </w:num>
  <w:num w:numId="14">
    <w:abstractNumId w:val="10"/>
  </w:num>
  <w:num w:numId="15">
    <w:abstractNumId w:val="5"/>
  </w:num>
  <w:num w:numId="16">
    <w:abstractNumId w:val="13"/>
  </w:num>
  <w:num w:numId="17">
    <w:abstractNumId w:val="4"/>
  </w:num>
  <w:num w:numId="18">
    <w:abstractNumId w:val="23"/>
  </w:num>
  <w:num w:numId="19">
    <w:abstractNumId w:val="7"/>
  </w:num>
  <w:num w:numId="20">
    <w:abstractNumId w:val="1"/>
  </w:num>
  <w:num w:numId="21">
    <w:abstractNumId w:val="21"/>
  </w:num>
  <w:num w:numId="22">
    <w:abstractNumId w:val="20"/>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WzsDA0NTQxMTc1sTBT0lEKTi0uzszPAykwrAUA7UvIDywAAAA="/>
  </w:docVars>
  <w:rsids>
    <w:rsidRoot w:val="00002DC0"/>
    <w:rsid w:val="00000CB0"/>
    <w:rsid w:val="00001A47"/>
    <w:rsid w:val="00002DC0"/>
    <w:rsid w:val="00004220"/>
    <w:rsid w:val="00011CB5"/>
    <w:rsid w:val="00014354"/>
    <w:rsid w:val="000208B1"/>
    <w:rsid w:val="000400F2"/>
    <w:rsid w:val="0004018D"/>
    <w:rsid w:val="00046FB2"/>
    <w:rsid w:val="00047A23"/>
    <w:rsid w:val="00076963"/>
    <w:rsid w:val="00077518"/>
    <w:rsid w:val="0008429B"/>
    <w:rsid w:val="00086AB0"/>
    <w:rsid w:val="00087B64"/>
    <w:rsid w:val="00094064"/>
    <w:rsid w:val="000D0BF8"/>
    <w:rsid w:val="000D2481"/>
    <w:rsid w:val="000D2E4F"/>
    <w:rsid w:val="00117D1D"/>
    <w:rsid w:val="00135DDC"/>
    <w:rsid w:val="00154BA6"/>
    <w:rsid w:val="0015699C"/>
    <w:rsid w:val="001625C1"/>
    <w:rsid w:val="00166A08"/>
    <w:rsid w:val="00180392"/>
    <w:rsid w:val="00196CE8"/>
    <w:rsid w:val="001A3445"/>
    <w:rsid w:val="001A35A0"/>
    <w:rsid w:val="001A3F40"/>
    <w:rsid w:val="001A6AD4"/>
    <w:rsid w:val="001C31B6"/>
    <w:rsid w:val="001F2433"/>
    <w:rsid w:val="001F39D4"/>
    <w:rsid w:val="001F51F0"/>
    <w:rsid w:val="001F70FC"/>
    <w:rsid w:val="00203349"/>
    <w:rsid w:val="002044E5"/>
    <w:rsid w:val="00214ACF"/>
    <w:rsid w:val="00215500"/>
    <w:rsid w:val="002173E3"/>
    <w:rsid w:val="00220F70"/>
    <w:rsid w:val="00222371"/>
    <w:rsid w:val="00222FAA"/>
    <w:rsid w:val="00225B7C"/>
    <w:rsid w:val="00227473"/>
    <w:rsid w:val="00236A4C"/>
    <w:rsid w:val="0023749D"/>
    <w:rsid w:val="00241CF4"/>
    <w:rsid w:val="00243376"/>
    <w:rsid w:val="00243524"/>
    <w:rsid w:val="00244024"/>
    <w:rsid w:val="00250435"/>
    <w:rsid w:val="002511A3"/>
    <w:rsid w:val="00251EBB"/>
    <w:rsid w:val="00261101"/>
    <w:rsid w:val="00266AC5"/>
    <w:rsid w:val="002A3790"/>
    <w:rsid w:val="002A55DF"/>
    <w:rsid w:val="002A5D9E"/>
    <w:rsid w:val="002A7ED5"/>
    <w:rsid w:val="002B414A"/>
    <w:rsid w:val="002C051D"/>
    <w:rsid w:val="002C20DE"/>
    <w:rsid w:val="002C2CB4"/>
    <w:rsid w:val="002D0B44"/>
    <w:rsid w:val="002D3594"/>
    <w:rsid w:val="002E3A68"/>
    <w:rsid w:val="002F7768"/>
    <w:rsid w:val="00303C73"/>
    <w:rsid w:val="0031785F"/>
    <w:rsid w:val="00321A15"/>
    <w:rsid w:val="00325479"/>
    <w:rsid w:val="003311A2"/>
    <w:rsid w:val="003331D1"/>
    <w:rsid w:val="00336A5C"/>
    <w:rsid w:val="003372BA"/>
    <w:rsid w:val="0034494E"/>
    <w:rsid w:val="00345144"/>
    <w:rsid w:val="00356F09"/>
    <w:rsid w:val="00357828"/>
    <w:rsid w:val="00376DE0"/>
    <w:rsid w:val="00394C59"/>
    <w:rsid w:val="00395F18"/>
    <w:rsid w:val="003B7201"/>
    <w:rsid w:val="003C661A"/>
    <w:rsid w:val="003F6DE5"/>
    <w:rsid w:val="00400B9D"/>
    <w:rsid w:val="00406FC1"/>
    <w:rsid w:val="00414140"/>
    <w:rsid w:val="00425B57"/>
    <w:rsid w:val="00431744"/>
    <w:rsid w:val="00433CFE"/>
    <w:rsid w:val="00437A0B"/>
    <w:rsid w:val="00463DE5"/>
    <w:rsid w:val="004640F1"/>
    <w:rsid w:val="00465046"/>
    <w:rsid w:val="00473DAB"/>
    <w:rsid w:val="004759C0"/>
    <w:rsid w:val="00477C2B"/>
    <w:rsid w:val="0048375F"/>
    <w:rsid w:val="00490247"/>
    <w:rsid w:val="0049134A"/>
    <w:rsid w:val="00491947"/>
    <w:rsid w:val="00494801"/>
    <w:rsid w:val="004A09BE"/>
    <w:rsid w:val="004A34D7"/>
    <w:rsid w:val="004C339A"/>
    <w:rsid w:val="004E02BF"/>
    <w:rsid w:val="004E0C33"/>
    <w:rsid w:val="004E5B02"/>
    <w:rsid w:val="004E63BF"/>
    <w:rsid w:val="00504E73"/>
    <w:rsid w:val="00507FCE"/>
    <w:rsid w:val="0051403F"/>
    <w:rsid w:val="00525EFF"/>
    <w:rsid w:val="00553D67"/>
    <w:rsid w:val="00573ECC"/>
    <w:rsid w:val="00582393"/>
    <w:rsid w:val="005930BE"/>
    <w:rsid w:val="00593AC3"/>
    <w:rsid w:val="005A2DD5"/>
    <w:rsid w:val="005B4BC3"/>
    <w:rsid w:val="005B75ED"/>
    <w:rsid w:val="005D5ECB"/>
    <w:rsid w:val="005D6552"/>
    <w:rsid w:val="005E4780"/>
    <w:rsid w:val="006073DD"/>
    <w:rsid w:val="00630F57"/>
    <w:rsid w:val="00633B7E"/>
    <w:rsid w:val="00634EA1"/>
    <w:rsid w:val="00637AC9"/>
    <w:rsid w:val="00652F67"/>
    <w:rsid w:val="00654F27"/>
    <w:rsid w:val="00655D67"/>
    <w:rsid w:val="006744E8"/>
    <w:rsid w:val="00676AE1"/>
    <w:rsid w:val="00680CFD"/>
    <w:rsid w:val="00686FD0"/>
    <w:rsid w:val="0069097C"/>
    <w:rsid w:val="006909F0"/>
    <w:rsid w:val="006C0611"/>
    <w:rsid w:val="006C7A1D"/>
    <w:rsid w:val="006D20CD"/>
    <w:rsid w:val="006D6675"/>
    <w:rsid w:val="006D71AB"/>
    <w:rsid w:val="006F2475"/>
    <w:rsid w:val="006F6174"/>
    <w:rsid w:val="00706BBE"/>
    <w:rsid w:val="00720E6E"/>
    <w:rsid w:val="00721A50"/>
    <w:rsid w:val="00723AF2"/>
    <w:rsid w:val="00726C2F"/>
    <w:rsid w:val="0072794F"/>
    <w:rsid w:val="00742826"/>
    <w:rsid w:val="00752C5F"/>
    <w:rsid w:val="007713C4"/>
    <w:rsid w:val="00771AEC"/>
    <w:rsid w:val="0077416D"/>
    <w:rsid w:val="007865B6"/>
    <w:rsid w:val="007949EF"/>
    <w:rsid w:val="007960D1"/>
    <w:rsid w:val="007A61CA"/>
    <w:rsid w:val="007A6337"/>
    <w:rsid w:val="007A77F3"/>
    <w:rsid w:val="007C1B1A"/>
    <w:rsid w:val="007C5C3E"/>
    <w:rsid w:val="007C6D70"/>
    <w:rsid w:val="007C7C8B"/>
    <w:rsid w:val="007D678F"/>
    <w:rsid w:val="007F503C"/>
    <w:rsid w:val="008002F2"/>
    <w:rsid w:val="0080298C"/>
    <w:rsid w:val="00804BC8"/>
    <w:rsid w:val="008165A7"/>
    <w:rsid w:val="00831E4D"/>
    <w:rsid w:val="00835C84"/>
    <w:rsid w:val="00836F5A"/>
    <w:rsid w:val="0084040A"/>
    <w:rsid w:val="00843BE0"/>
    <w:rsid w:val="008577B6"/>
    <w:rsid w:val="00896F5A"/>
    <w:rsid w:val="008A381F"/>
    <w:rsid w:val="008A420A"/>
    <w:rsid w:val="008A5968"/>
    <w:rsid w:val="008C5294"/>
    <w:rsid w:val="008D1EBA"/>
    <w:rsid w:val="008D21E4"/>
    <w:rsid w:val="008D6D24"/>
    <w:rsid w:val="008E4472"/>
    <w:rsid w:val="008E619D"/>
    <w:rsid w:val="008F039B"/>
    <w:rsid w:val="008F21DA"/>
    <w:rsid w:val="008F4135"/>
    <w:rsid w:val="00901EB0"/>
    <w:rsid w:val="00913E54"/>
    <w:rsid w:val="00934CC4"/>
    <w:rsid w:val="0095387E"/>
    <w:rsid w:val="009617E1"/>
    <w:rsid w:val="009841A2"/>
    <w:rsid w:val="0098782A"/>
    <w:rsid w:val="009A29C4"/>
    <w:rsid w:val="009B136F"/>
    <w:rsid w:val="009C0B1B"/>
    <w:rsid w:val="009C191E"/>
    <w:rsid w:val="009E45EA"/>
    <w:rsid w:val="009E50ED"/>
    <w:rsid w:val="009F44E8"/>
    <w:rsid w:val="00A066B0"/>
    <w:rsid w:val="00A074D6"/>
    <w:rsid w:val="00A07B16"/>
    <w:rsid w:val="00A266E1"/>
    <w:rsid w:val="00A26A77"/>
    <w:rsid w:val="00A40C33"/>
    <w:rsid w:val="00A42F55"/>
    <w:rsid w:val="00A66125"/>
    <w:rsid w:val="00A6665F"/>
    <w:rsid w:val="00A702DB"/>
    <w:rsid w:val="00A73C6A"/>
    <w:rsid w:val="00A818CE"/>
    <w:rsid w:val="00A81DB4"/>
    <w:rsid w:val="00A84D8D"/>
    <w:rsid w:val="00A87FE0"/>
    <w:rsid w:val="00A90AFB"/>
    <w:rsid w:val="00A913F0"/>
    <w:rsid w:val="00A91DEF"/>
    <w:rsid w:val="00A94A3F"/>
    <w:rsid w:val="00AA0A6B"/>
    <w:rsid w:val="00AA2C06"/>
    <w:rsid w:val="00AA4CA7"/>
    <w:rsid w:val="00AA607C"/>
    <w:rsid w:val="00AB0715"/>
    <w:rsid w:val="00AB2919"/>
    <w:rsid w:val="00AB741D"/>
    <w:rsid w:val="00AC4CF3"/>
    <w:rsid w:val="00AC5D0E"/>
    <w:rsid w:val="00AD05AF"/>
    <w:rsid w:val="00AD0C3D"/>
    <w:rsid w:val="00AE1591"/>
    <w:rsid w:val="00AE2E28"/>
    <w:rsid w:val="00B020F9"/>
    <w:rsid w:val="00B13DFF"/>
    <w:rsid w:val="00B1641C"/>
    <w:rsid w:val="00B20396"/>
    <w:rsid w:val="00B26F2E"/>
    <w:rsid w:val="00B441DB"/>
    <w:rsid w:val="00B46058"/>
    <w:rsid w:val="00B512E9"/>
    <w:rsid w:val="00B53B34"/>
    <w:rsid w:val="00B62507"/>
    <w:rsid w:val="00B91422"/>
    <w:rsid w:val="00BA28CE"/>
    <w:rsid w:val="00BA34DB"/>
    <w:rsid w:val="00BB076D"/>
    <w:rsid w:val="00BC6B70"/>
    <w:rsid w:val="00BC72AD"/>
    <w:rsid w:val="00BE5B9A"/>
    <w:rsid w:val="00BF0797"/>
    <w:rsid w:val="00BF66CC"/>
    <w:rsid w:val="00C04230"/>
    <w:rsid w:val="00C124A3"/>
    <w:rsid w:val="00C2310E"/>
    <w:rsid w:val="00C25E8E"/>
    <w:rsid w:val="00C26C0C"/>
    <w:rsid w:val="00C27276"/>
    <w:rsid w:val="00C34F60"/>
    <w:rsid w:val="00C42A22"/>
    <w:rsid w:val="00C4421A"/>
    <w:rsid w:val="00C63998"/>
    <w:rsid w:val="00C67D17"/>
    <w:rsid w:val="00C715B3"/>
    <w:rsid w:val="00C81CA6"/>
    <w:rsid w:val="00C8245E"/>
    <w:rsid w:val="00C832F7"/>
    <w:rsid w:val="00C87494"/>
    <w:rsid w:val="00C91936"/>
    <w:rsid w:val="00CA058C"/>
    <w:rsid w:val="00CA6C65"/>
    <w:rsid w:val="00CB0081"/>
    <w:rsid w:val="00CB1639"/>
    <w:rsid w:val="00CC79B6"/>
    <w:rsid w:val="00CD1514"/>
    <w:rsid w:val="00CD2077"/>
    <w:rsid w:val="00CD3467"/>
    <w:rsid w:val="00CE0528"/>
    <w:rsid w:val="00CE3B57"/>
    <w:rsid w:val="00CE7351"/>
    <w:rsid w:val="00CE7B29"/>
    <w:rsid w:val="00CF075F"/>
    <w:rsid w:val="00CF4635"/>
    <w:rsid w:val="00CF6D15"/>
    <w:rsid w:val="00D036FC"/>
    <w:rsid w:val="00D07E84"/>
    <w:rsid w:val="00D142EE"/>
    <w:rsid w:val="00D1540F"/>
    <w:rsid w:val="00D1594F"/>
    <w:rsid w:val="00D4320B"/>
    <w:rsid w:val="00D50512"/>
    <w:rsid w:val="00D50E43"/>
    <w:rsid w:val="00D525F2"/>
    <w:rsid w:val="00D54478"/>
    <w:rsid w:val="00D70EFB"/>
    <w:rsid w:val="00D819C7"/>
    <w:rsid w:val="00D925BE"/>
    <w:rsid w:val="00DB1A39"/>
    <w:rsid w:val="00DB7D19"/>
    <w:rsid w:val="00DC4194"/>
    <w:rsid w:val="00DC4DC4"/>
    <w:rsid w:val="00DC6573"/>
    <w:rsid w:val="00DE4B0E"/>
    <w:rsid w:val="00DF4009"/>
    <w:rsid w:val="00E1262E"/>
    <w:rsid w:val="00E2089A"/>
    <w:rsid w:val="00E228B8"/>
    <w:rsid w:val="00E2696F"/>
    <w:rsid w:val="00E33EDA"/>
    <w:rsid w:val="00E40F00"/>
    <w:rsid w:val="00E423B8"/>
    <w:rsid w:val="00E46A6D"/>
    <w:rsid w:val="00E61869"/>
    <w:rsid w:val="00E6214E"/>
    <w:rsid w:val="00E74AEA"/>
    <w:rsid w:val="00E80CFF"/>
    <w:rsid w:val="00E875CE"/>
    <w:rsid w:val="00EA3A58"/>
    <w:rsid w:val="00EA727E"/>
    <w:rsid w:val="00EB4701"/>
    <w:rsid w:val="00EB5F33"/>
    <w:rsid w:val="00EB6FB4"/>
    <w:rsid w:val="00ED1B0D"/>
    <w:rsid w:val="00ED215E"/>
    <w:rsid w:val="00ED27EC"/>
    <w:rsid w:val="00EF5C62"/>
    <w:rsid w:val="00EF7BF8"/>
    <w:rsid w:val="00F008DE"/>
    <w:rsid w:val="00F073E9"/>
    <w:rsid w:val="00F20D0A"/>
    <w:rsid w:val="00F2284B"/>
    <w:rsid w:val="00F23DEA"/>
    <w:rsid w:val="00F23FC2"/>
    <w:rsid w:val="00F37BF5"/>
    <w:rsid w:val="00F50A1E"/>
    <w:rsid w:val="00F57060"/>
    <w:rsid w:val="00F72697"/>
    <w:rsid w:val="00F8530C"/>
    <w:rsid w:val="00F859EA"/>
    <w:rsid w:val="00F90FA7"/>
    <w:rsid w:val="00F94117"/>
    <w:rsid w:val="00F96229"/>
    <w:rsid w:val="00FD3634"/>
    <w:rsid w:val="00FD44C8"/>
    <w:rsid w:val="00FE6F4F"/>
    <w:rsid w:val="00FF2636"/>
    <w:rsid w:val="00FF3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2BF3F0"/>
  <w15:chartTrackingRefBased/>
  <w15:docId w15:val="{AADB5E59-7CEF-442E-A0C5-59136026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020F9"/>
    <w:pPr>
      <w:spacing w:line="360" w:lineRule="auto"/>
      <w:outlineLvl w:val="0"/>
    </w:pPr>
    <w:rPr>
      <w:rFonts w:ascii="Arial" w:hAnsi="Arial" w:cs="Arial"/>
      <w:b/>
      <w:sz w:val="32"/>
      <w:szCs w:val="32"/>
      <w:u w:val="single"/>
    </w:rPr>
  </w:style>
  <w:style w:type="paragraph" w:styleId="Heading2">
    <w:name w:val="heading 2"/>
    <w:basedOn w:val="Heading1"/>
    <w:next w:val="Normal"/>
    <w:link w:val="Heading2Char"/>
    <w:uiPriority w:val="9"/>
    <w:unhideWhenUsed/>
    <w:qFormat/>
    <w:rsid w:val="00B020F9"/>
    <w:pPr>
      <w:numPr>
        <w:numId w:val="23"/>
      </w:numPr>
      <w:outlineLvl w:val="1"/>
    </w:pPr>
  </w:style>
  <w:style w:type="paragraph" w:styleId="Heading3">
    <w:name w:val="heading 3"/>
    <w:basedOn w:val="Normal"/>
    <w:next w:val="Normal"/>
    <w:link w:val="Heading3Char"/>
    <w:uiPriority w:val="9"/>
    <w:semiHidden/>
    <w:unhideWhenUsed/>
    <w:qFormat/>
    <w:rsid w:val="00222371"/>
    <w:pPr>
      <w:keepNext/>
      <w:keepLines/>
      <w:numPr>
        <w:ilvl w:val="2"/>
        <w:numId w:val="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22371"/>
    <w:pPr>
      <w:keepNext/>
      <w:keepLines/>
      <w:numPr>
        <w:ilvl w:val="3"/>
        <w:numId w:val="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22371"/>
    <w:pPr>
      <w:keepNext/>
      <w:keepLines/>
      <w:numPr>
        <w:ilvl w:val="4"/>
        <w:numId w:val="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22371"/>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22371"/>
    <w:pPr>
      <w:keepNext/>
      <w:keepLines/>
      <w:numPr>
        <w:ilvl w:val="6"/>
        <w:numId w:val="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22371"/>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2371"/>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0F9"/>
    <w:rPr>
      <w:rFonts w:ascii="Arial" w:hAnsi="Arial" w:cs="Arial"/>
      <w:b/>
      <w:sz w:val="32"/>
      <w:szCs w:val="32"/>
      <w:u w:val="single"/>
    </w:rPr>
  </w:style>
  <w:style w:type="paragraph" w:styleId="ListParagraph">
    <w:name w:val="List Paragraph"/>
    <w:basedOn w:val="Normal"/>
    <w:uiPriority w:val="34"/>
    <w:qFormat/>
    <w:rsid w:val="00B91422"/>
    <w:pPr>
      <w:ind w:left="720"/>
      <w:contextualSpacing/>
    </w:pPr>
  </w:style>
  <w:style w:type="character" w:customStyle="1" w:styleId="Heading2Char">
    <w:name w:val="Heading 2 Char"/>
    <w:basedOn w:val="DefaultParagraphFont"/>
    <w:link w:val="Heading2"/>
    <w:uiPriority w:val="9"/>
    <w:rsid w:val="00B020F9"/>
    <w:rPr>
      <w:rFonts w:ascii="Arial" w:hAnsi="Arial" w:cs="Arial"/>
      <w:b/>
      <w:sz w:val="32"/>
      <w:szCs w:val="32"/>
      <w:u w:val="single"/>
    </w:rPr>
  </w:style>
  <w:style w:type="character" w:customStyle="1" w:styleId="Heading3Char">
    <w:name w:val="Heading 3 Char"/>
    <w:basedOn w:val="DefaultParagraphFont"/>
    <w:link w:val="Heading3"/>
    <w:uiPriority w:val="9"/>
    <w:semiHidden/>
    <w:rsid w:val="0022237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2237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2237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2237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2237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2237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22371"/>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8A38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81F"/>
    <w:rPr>
      <w:rFonts w:ascii="Segoe UI" w:hAnsi="Segoe UI" w:cs="Segoe UI"/>
      <w:sz w:val="18"/>
      <w:szCs w:val="18"/>
    </w:rPr>
  </w:style>
  <w:style w:type="table" w:styleId="TableGrid">
    <w:name w:val="Table Grid"/>
    <w:basedOn w:val="TableNormal"/>
    <w:uiPriority w:val="39"/>
    <w:rsid w:val="00E26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8375F"/>
    <w:rPr>
      <w:sz w:val="16"/>
      <w:szCs w:val="16"/>
    </w:rPr>
  </w:style>
  <w:style w:type="paragraph" w:styleId="CommentText">
    <w:name w:val="annotation text"/>
    <w:basedOn w:val="Normal"/>
    <w:link w:val="CommentTextChar"/>
    <w:uiPriority w:val="99"/>
    <w:unhideWhenUsed/>
    <w:rsid w:val="0048375F"/>
    <w:pPr>
      <w:spacing w:line="240" w:lineRule="auto"/>
    </w:pPr>
    <w:rPr>
      <w:sz w:val="20"/>
      <w:szCs w:val="20"/>
    </w:rPr>
  </w:style>
  <w:style w:type="character" w:customStyle="1" w:styleId="CommentTextChar">
    <w:name w:val="Comment Text Char"/>
    <w:basedOn w:val="DefaultParagraphFont"/>
    <w:link w:val="CommentText"/>
    <w:uiPriority w:val="99"/>
    <w:rsid w:val="0048375F"/>
    <w:rPr>
      <w:sz w:val="20"/>
      <w:szCs w:val="20"/>
    </w:rPr>
  </w:style>
  <w:style w:type="paragraph" w:styleId="CommentSubject">
    <w:name w:val="annotation subject"/>
    <w:basedOn w:val="CommentText"/>
    <w:next w:val="CommentText"/>
    <w:link w:val="CommentSubjectChar"/>
    <w:uiPriority w:val="99"/>
    <w:semiHidden/>
    <w:unhideWhenUsed/>
    <w:rsid w:val="0048375F"/>
    <w:rPr>
      <w:b/>
      <w:bCs/>
    </w:rPr>
  </w:style>
  <w:style w:type="character" w:customStyle="1" w:styleId="CommentSubjectChar">
    <w:name w:val="Comment Subject Char"/>
    <w:basedOn w:val="CommentTextChar"/>
    <w:link w:val="CommentSubject"/>
    <w:uiPriority w:val="99"/>
    <w:semiHidden/>
    <w:rsid w:val="0048375F"/>
    <w:rPr>
      <w:b/>
      <w:bCs/>
      <w:sz w:val="20"/>
      <w:szCs w:val="20"/>
    </w:rPr>
  </w:style>
  <w:style w:type="paragraph" w:styleId="Revision">
    <w:name w:val="Revision"/>
    <w:hidden/>
    <w:uiPriority w:val="99"/>
    <w:semiHidden/>
    <w:rsid w:val="0048375F"/>
    <w:pPr>
      <w:spacing w:after="0" w:line="240" w:lineRule="auto"/>
    </w:pPr>
  </w:style>
  <w:style w:type="paragraph" w:styleId="Header">
    <w:name w:val="header"/>
    <w:basedOn w:val="Normal"/>
    <w:link w:val="HeaderChar"/>
    <w:uiPriority w:val="99"/>
    <w:unhideWhenUsed/>
    <w:rsid w:val="00B13D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DFF"/>
  </w:style>
  <w:style w:type="paragraph" w:styleId="Footer">
    <w:name w:val="footer"/>
    <w:basedOn w:val="Normal"/>
    <w:link w:val="FooterChar"/>
    <w:uiPriority w:val="99"/>
    <w:unhideWhenUsed/>
    <w:qFormat/>
    <w:rsid w:val="00B13D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DFF"/>
  </w:style>
  <w:style w:type="character" w:styleId="Hyperlink">
    <w:name w:val="Hyperlink"/>
    <w:basedOn w:val="DefaultParagraphFont"/>
    <w:uiPriority w:val="99"/>
    <w:unhideWhenUsed/>
    <w:rsid w:val="00463DE5"/>
    <w:rPr>
      <w:color w:val="0563C1" w:themeColor="hyperlink"/>
      <w:u w:val="single"/>
    </w:rPr>
  </w:style>
  <w:style w:type="paragraph" w:styleId="Title">
    <w:name w:val="Title"/>
    <w:basedOn w:val="Normal"/>
    <w:next w:val="Normal"/>
    <w:link w:val="TitleChar"/>
    <w:uiPriority w:val="10"/>
    <w:qFormat/>
    <w:rsid w:val="00241C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1CF4"/>
    <w:rPr>
      <w:rFonts w:asciiTheme="majorHAnsi" w:eastAsiaTheme="majorEastAsia" w:hAnsiTheme="majorHAnsi" w:cstheme="majorBidi"/>
      <w:spacing w:val="-10"/>
      <w:kern w:val="28"/>
      <w:sz w:val="56"/>
      <w:szCs w:val="56"/>
    </w:rPr>
  </w:style>
  <w:style w:type="character" w:styleId="IntenseReference">
    <w:name w:val="Intense Reference"/>
    <w:basedOn w:val="DefaultParagraphFont"/>
    <w:uiPriority w:val="32"/>
    <w:qFormat/>
    <w:rsid w:val="004C339A"/>
    <w:rPr>
      <w:b/>
      <w:bCs/>
      <w:smallCaps/>
      <w:color w:val="5B9BD5" w:themeColor="accent1"/>
      <w:spacing w:val="5"/>
    </w:rPr>
  </w:style>
  <w:style w:type="character" w:styleId="BookTitle">
    <w:name w:val="Book Title"/>
    <w:basedOn w:val="DefaultParagraphFont"/>
    <w:uiPriority w:val="33"/>
    <w:qFormat/>
    <w:rsid w:val="004C339A"/>
    <w:rPr>
      <w:b/>
      <w:bCs/>
      <w:i/>
      <w:iCs/>
      <w:spacing w:val="5"/>
    </w:rPr>
  </w:style>
  <w:style w:type="paragraph" w:styleId="NoSpacing">
    <w:name w:val="No Spacing"/>
    <w:link w:val="NoSpacingChar"/>
    <w:uiPriority w:val="1"/>
    <w:qFormat/>
    <w:rsid w:val="00F2284B"/>
    <w:pPr>
      <w:spacing w:after="0" w:line="240" w:lineRule="auto"/>
    </w:pPr>
    <w:rPr>
      <w:rFonts w:eastAsiaTheme="minorEastAsia"/>
    </w:rPr>
  </w:style>
  <w:style w:type="character" w:customStyle="1" w:styleId="NoSpacingChar">
    <w:name w:val="No Spacing Char"/>
    <w:basedOn w:val="DefaultParagraphFont"/>
    <w:link w:val="NoSpacing"/>
    <w:uiPriority w:val="1"/>
    <w:rsid w:val="00F2284B"/>
    <w:rPr>
      <w:rFonts w:eastAsiaTheme="minorEastAsia"/>
    </w:rPr>
  </w:style>
  <w:style w:type="character" w:styleId="FollowedHyperlink">
    <w:name w:val="FollowedHyperlink"/>
    <w:basedOn w:val="DefaultParagraphFont"/>
    <w:uiPriority w:val="99"/>
    <w:semiHidden/>
    <w:unhideWhenUsed/>
    <w:rsid w:val="002B414A"/>
    <w:rPr>
      <w:color w:val="954F72" w:themeColor="followedHyperlink"/>
      <w:u w:val="single"/>
    </w:rPr>
  </w:style>
  <w:style w:type="paragraph" w:styleId="TOCHeading">
    <w:name w:val="TOC Heading"/>
    <w:basedOn w:val="Heading1"/>
    <w:next w:val="Normal"/>
    <w:uiPriority w:val="39"/>
    <w:unhideWhenUsed/>
    <w:qFormat/>
    <w:rsid w:val="00B020F9"/>
    <w:pPr>
      <w:outlineLvl w:val="9"/>
    </w:pPr>
  </w:style>
  <w:style w:type="paragraph" w:styleId="TOC1">
    <w:name w:val="toc 1"/>
    <w:basedOn w:val="Normal"/>
    <w:next w:val="Normal"/>
    <w:autoRedefine/>
    <w:uiPriority w:val="39"/>
    <w:unhideWhenUsed/>
    <w:rsid w:val="00B020F9"/>
    <w:pPr>
      <w:spacing w:after="100"/>
    </w:pPr>
  </w:style>
  <w:style w:type="paragraph" w:styleId="TOC2">
    <w:name w:val="toc 2"/>
    <w:basedOn w:val="Normal"/>
    <w:next w:val="Normal"/>
    <w:autoRedefine/>
    <w:uiPriority w:val="39"/>
    <w:unhideWhenUsed/>
    <w:rsid w:val="00B020F9"/>
    <w:pPr>
      <w:spacing w:after="100"/>
      <w:ind w:left="220"/>
    </w:pPr>
  </w:style>
  <w:style w:type="table" w:customStyle="1" w:styleId="TableGrid1">
    <w:name w:val="Table Grid1"/>
    <w:basedOn w:val="TableNormal"/>
    <w:next w:val="TableGrid"/>
    <w:uiPriority w:val="39"/>
    <w:rsid w:val="007F5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elanie.taylor/Desktop/System%20Analysis%20Report%20(SAR).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g.com/images/search?view=detailV2&amp;ccid=Sq2XEaF1&amp;id=EA41FD73809CB23AAA1F2646B6064841B6B4F6CB&amp;thid=OIP.Sq2XEaF12P-8GGFPmSjTuQHaHa&amp;mediaurl=https%3a%2f%2fupload.wikimedia.org%2fwikipedia%2fcommons%2fthumb%2f3%2f35%2fSeal_of_Kentucky.svg%2f1200px-Seal_of_Kentucky.svg.png&amp;exph=1200&amp;expw=1200&amp;q=kentucky+state+seal&amp;simid=608022129508486787&amp;selectedIndex=0&amp;qpvt=kentucky+state+sea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elanie.taylor/Desktop/Human%20Factors%20Debriefing%20Participant%20Guid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sopFormTags xmlns="69ea8ea5-a0c5-48fd-9c4d-b77c57417ff0">
      <Value>4</Value>
      <Value>5</Value>
    </sopForm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4947298419AA49AB3BE09F10B23F6D" ma:contentTypeVersion="14" ma:contentTypeDescription="Create a new document." ma:contentTypeScope="" ma:versionID="27acfa162f6b83336dec3e521760c8d9">
  <xsd:schema xmlns:xsd="http://www.w3.org/2001/XMLSchema" xmlns:xs="http://www.w3.org/2001/XMLSchema" xmlns:p="http://schemas.microsoft.com/office/2006/metadata/properties" xmlns:ns1="http://schemas.microsoft.com/sharepoint/v3" xmlns:ns2="69ea8ea5-a0c5-48fd-9c4d-b77c57417ff0" targetNamespace="http://schemas.microsoft.com/office/2006/metadata/properties" ma:root="true" ma:fieldsID="c0449c1601c3fb4f5d328c948f15cbd3" ns1:_="" ns2:_="">
    <xsd:import namespace="http://schemas.microsoft.com/sharepoint/v3"/>
    <xsd:import namespace="69ea8ea5-a0c5-48fd-9c4d-b77c57417ff0"/>
    <xsd:element name="properties">
      <xsd:complexType>
        <xsd:sequence>
          <xsd:element name="documentManagement">
            <xsd:complexType>
              <xsd:all>
                <xsd:element ref="ns1:Language" minOccurs="0"/>
                <xsd:element ref="ns2:sopFor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8" nillable="true" ma:displayName="Language" ma:default="English" ma:internalName="Languag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9ea8ea5-a0c5-48fd-9c4d-b77c57417ff0" elementFormDefault="qualified">
    <xsd:import namespace="http://schemas.microsoft.com/office/2006/documentManagement/types"/>
    <xsd:import namespace="http://schemas.microsoft.com/office/infopath/2007/PartnerControls"/>
    <xsd:element name="sopFormTags" ma:index="9" nillable="true" ma:displayName="Form Tags" ma:list="{31a23525-d785-421f-bbcf-d2f839a13d64}" ma:internalName="sopFormTags"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277EE-7FA4-44E3-860A-548B88F5DDF1}">
  <ds:schemaRefs>
    <ds:schemaRef ds:uri="http://purl.org/dc/terms/"/>
    <ds:schemaRef ds:uri="http://schemas.microsoft.com/office/infopath/2007/PartnerControls"/>
    <ds:schemaRef ds:uri="69ea8ea5-a0c5-48fd-9c4d-b77c57417ff0"/>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A80E0BB6-79CC-4D77-BA64-DF0166928B98}">
  <ds:schemaRefs>
    <ds:schemaRef ds:uri="http://schemas.microsoft.com/sharepoint/v3/contenttype/forms"/>
  </ds:schemaRefs>
</ds:datastoreItem>
</file>

<file path=customXml/itemProps3.xml><?xml version="1.0" encoding="utf-8"?>
<ds:datastoreItem xmlns:ds="http://schemas.openxmlformats.org/officeDocument/2006/customXml" ds:itemID="{D49F5BF7-2521-4E83-AA7D-3EDC13440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9ea8ea5-a0c5-48fd-9c4d-b77c57417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3E34A-63EC-4326-8847-F34252AD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System Safety Review Process Manual</vt:lpstr>
    </vt:vector>
  </TitlesOfParts>
  <Company>Commonwealth of Kentucky</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Safety Review Process Manual</dc:title>
  <dc:subject/>
  <dc:creator>Fryman, Dana A (CHFS DCBS DPP)</dc:creator>
  <cp:keywords/>
  <dc:description/>
  <cp:lastModifiedBy>Cubert, Julie M (CHFS DCBS DPP)</cp:lastModifiedBy>
  <cp:revision>3</cp:revision>
  <cp:lastPrinted>2019-08-28T19:13:00Z</cp:lastPrinted>
  <dcterms:created xsi:type="dcterms:W3CDTF">2019-10-01T13:21:00Z</dcterms:created>
  <dcterms:modified xsi:type="dcterms:W3CDTF">2021-09-09T19:21:00Z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0x010100604947298419AA49AB3BE09F10B23F6D</vt:lpwstr>
  </property>
</Properties>
</file>